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38505" w14:textId="77777777" w:rsidR="00DC69F1" w:rsidRDefault="00DC69F1" w:rsidP="00E56B55">
      <w:pPr>
        <w:framePr w:w="10800" w:h="1384" w:hRule="exact" w:hSpace="187" w:wrap="auto" w:vAnchor="page" w:hAnchor="page" w:x="786" w:y="517"/>
        <w:jc w:val="center"/>
      </w:pPr>
      <w:bookmarkStart w:id="0" w:name="_GoBack"/>
      <w:bookmarkEnd w:id="0"/>
      <w:r>
        <w:t xml:space="preserve">       </w:t>
      </w:r>
      <w:r>
        <w:tab/>
      </w:r>
      <w:r>
        <w:tab/>
      </w:r>
      <w:r>
        <w:tab/>
      </w:r>
      <w:r>
        <w:tab/>
      </w:r>
      <w:r>
        <w:tab/>
      </w:r>
      <w:r>
        <w:tab/>
      </w:r>
      <w:r>
        <w:tab/>
      </w:r>
      <w:r>
        <w:tab/>
      </w:r>
      <w:r>
        <w:tab/>
        <w:t xml:space="preserve">                                                 </w:t>
      </w:r>
      <w:r>
        <w:tab/>
      </w:r>
    </w:p>
    <w:p w14:paraId="3C43178A" w14:textId="77777777" w:rsidR="00E76486" w:rsidRPr="00E76486" w:rsidRDefault="002E5DFF" w:rsidP="00E76486">
      <w:pPr>
        <w:pStyle w:val="Corpotesto"/>
        <w:framePr w:w="10800" w:h="1384" w:hRule="exact" w:hSpace="187" w:wrap="auto" w:vAnchor="page" w:hAnchor="page" w:x="786" w:y="517"/>
        <w:rPr>
          <w:b/>
          <w:i/>
          <w:sz w:val="28"/>
          <w:szCs w:val="28"/>
          <w:lang w:val="en-US"/>
        </w:rPr>
      </w:pPr>
      <w:bookmarkStart w:id="1" w:name="_Hlk10316934"/>
      <w:bookmarkStart w:id="2" w:name="_Toc252192827"/>
      <w:bookmarkStart w:id="3" w:name="_Toc251091271"/>
      <w:bookmarkStart w:id="4" w:name="_Toc292095300"/>
      <w:bookmarkEnd w:id="1"/>
      <w:r>
        <w:rPr>
          <w:b/>
          <w:i/>
          <w:sz w:val="28"/>
          <w:szCs w:val="28"/>
          <w:lang w:val="en-US"/>
        </w:rPr>
        <w:t>Carbon Pricing Co-Benefits for Countries</w:t>
      </w:r>
    </w:p>
    <w:bookmarkEnd w:id="2"/>
    <w:bookmarkEnd w:id="3"/>
    <w:bookmarkEnd w:id="4"/>
    <w:p w14:paraId="74EAD362" w14:textId="77777777" w:rsidR="009D13D5" w:rsidRPr="00C266BA" w:rsidRDefault="009D13D5" w:rsidP="00E56B55">
      <w:pPr>
        <w:pStyle w:val="Corpotesto"/>
        <w:framePr w:w="10800" w:h="1384" w:hRule="exact" w:hSpace="187" w:wrap="auto" w:vAnchor="page" w:hAnchor="page" w:x="786" w:y="517"/>
        <w:jc w:val="center"/>
        <w:rPr>
          <w:b/>
          <w:i/>
          <w:szCs w:val="22"/>
        </w:rPr>
      </w:pPr>
    </w:p>
    <w:p w14:paraId="6FBC5707" w14:textId="3DCE6DBD" w:rsidR="00C94CFE" w:rsidRPr="00D767DA" w:rsidRDefault="009D13D5" w:rsidP="00E56B55">
      <w:pPr>
        <w:pStyle w:val="Corpotesto"/>
        <w:framePr w:w="10800" w:h="1384" w:hRule="exact" w:hSpace="187" w:wrap="auto" w:vAnchor="page" w:hAnchor="page" w:x="786" w:y="517"/>
        <w:jc w:val="right"/>
        <w:rPr>
          <w:sz w:val="20"/>
        </w:rPr>
      </w:pPr>
      <w:r w:rsidRPr="00D767DA">
        <w:rPr>
          <w:sz w:val="20"/>
        </w:rPr>
        <w:t xml:space="preserve"> </w:t>
      </w:r>
      <w:r w:rsidR="00F551BB">
        <w:rPr>
          <w:sz w:val="20"/>
        </w:rPr>
        <w:t xml:space="preserve">Dr </w:t>
      </w:r>
      <w:r>
        <w:rPr>
          <w:sz w:val="20"/>
        </w:rPr>
        <w:t xml:space="preserve">Fatemeh (Marjan) Nazifi, </w:t>
      </w:r>
      <w:r w:rsidR="00F551BB">
        <w:rPr>
          <w:sz w:val="20"/>
        </w:rPr>
        <w:t xml:space="preserve">Dr </w:t>
      </w:r>
      <w:r w:rsidR="002E5DFF">
        <w:rPr>
          <w:sz w:val="20"/>
        </w:rPr>
        <w:t>Rohan Best, Macquarie</w:t>
      </w:r>
      <w:r w:rsidRPr="009D13D5">
        <w:rPr>
          <w:sz w:val="20"/>
        </w:rPr>
        <w:t xml:space="preserve"> </w:t>
      </w:r>
      <w:proofErr w:type="spellStart"/>
      <w:r w:rsidRPr="009D13D5">
        <w:rPr>
          <w:sz w:val="20"/>
        </w:rPr>
        <w:t>University</w:t>
      </w:r>
      <w:r>
        <w:rPr>
          <w:sz w:val="20"/>
        </w:rPr>
        <w:t>,</w:t>
      </w:r>
      <w:r w:rsidR="00511A05">
        <w:rPr>
          <w:sz w:val="20"/>
        </w:rPr>
        <w:t>Sydney</w:t>
      </w:r>
      <w:proofErr w:type="spellEnd"/>
      <w:r w:rsidR="00511A05">
        <w:rPr>
          <w:sz w:val="20"/>
        </w:rPr>
        <w:t>, Australia,</w:t>
      </w:r>
      <w:r>
        <w:rPr>
          <w:sz w:val="20"/>
        </w:rPr>
        <w:t xml:space="preserve"> +61298504844, </w:t>
      </w:r>
      <w:hyperlink r:id="rId7" w:history="1">
        <w:r w:rsidR="00C94CFE" w:rsidRPr="00C5288B">
          <w:rPr>
            <w:rStyle w:val="Collegamentoipertestuale"/>
            <w:sz w:val="20"/>
          </w:rPr>
          <w:t>fatemeh.nazifi@mq.edu.au</w:t>
        </w:r>
      </w:hyperlink>
      <w:r w:rsidR="00C94CFE">
        <w:rPr>
          <w:sz w:val="20"/>
        </w:rPr>
        <w:t xml:space="preserve">  </w:t>
      </w:r>
    </w:p>
    <w:p w14:paraId="27638E46" w14:textId="77777777" w:rsidR="00DC69F1" w:rsidRDefault="00DC69F1">
      <w:pPr>
        <w:pStyle w:val="copyright"/>
      </w:pPr>
    </w:p>
    <w:p w14:paraId="3155C81B" w14:textId="77777777" w:rsidR="00DC69F1" w:rsidRPr="00250295" w:rsidRDefault="00DC69F1" w:rsidP="00EE1078">
      <w:pPr>
        <w:pStyle w:val="Titolo2"/>
        <w:spacing w:before="0"/>
        <w:ind w:left="-810" w:firstLine="810"/>
        <w:rPr>
          <w:rFonts w:ascii="Times New Roman" w:hAnsi="Times New Roman"/>
          <w:i w:val="0"/>
          <w:sz w:val="24"/>
          <w:szCs w:val="24"/>
        </w:rPr>
      </w:pPr>
      <w:r w:rsidRPr="00250295">
        <w:rPr>
          <w:rFonts w:ascii="Times New Roman" w:hAnsi="Times New Roman"/>
          <w:i w:val="0"/>
          <w:sz w:val="24"/>
          <w:szCs w:val="24"/>
        </w:rPr>
        <w:t>Overview</w:t>
      </w:r>
    </w:p>
    <w:p w14:paraId="42EA81E2" w14:textId="77777777" w:rsidR="00DD71EF" w:rsidRDefault="002E5DFF" w:rsidP="00FB5985">
      <w:pPr>
        <w:jc w:val="both"/>
        <w:rPr>
          <w:rFonts w:cs="Calibri"/>
        </w:rPr>
      </w:pPr>
      <w:r w:rsidRPr="002E5DFF">
        <w:t xml:space="preserve">Production processes lead to joint by-products including multiple types of greenhouse gases that cause multiple sustainability problems. This paper provides an international assessment of the impact of carbon pricing on pollutants beyond just carbon dioxide emissions. </w:t>
      </w:r>
      <w:r w:rsidR="00DD71EF" w:rsidRPr="004F10E0">
        <w:rPr>
          <w:rFonts w:cs="Calibri"/>
        </w:rPr>
        <w:t xml:space="preserve">Although the use of the CPM has dominated the discussion on climate change policies, the literature lacks extensive evaluations of its actual performance </w:t>
      </w:r>
      <w:r w:rsidR="00DD71EF" w:rsidRPr="004F10E0">
        <w:rPr>
          <w:rFonts w:cs="Calibri"/>
        </w:rPr>
        <w:fldChar w:fldCharType="begin" w:fldLock="1"/>
      </w:r>
      <w:r w:rsidR="00DD71EF" w:rsidRPr="004F10E0">
        <w:rPr>
          <w:rFonts w:cs="Calibri"/>
        </w:rPr>
        <w:instrText>ADDIN CSL_CITATION {"citationItems":[{"id":"ITEM-1","itemData":{"DOI":"10.1007/s10640-015-9966-1","ISBN":"1064001599","ISSN":"15731502","author":[{"dropping-particle":"","family":"Sterner","given":"Thomas","non-dropping-particle":"","parse-names":false,"suffix":""}],"container-title":"Environmental and Resource Economics","id":"ITEM-1","issue":"2","issued":{"date-parts":[["2015"]]},"page":"207-215","publisher":"Springer Netherlands","title":"Beyond IPCC, Research for Paris 2015 and Beyond","type":"article-journal","volume":"62"},"uris":["http://www.mendeley.com/documents/?uuid=650d3770-f3d2-41e4-a5d8-9eff32aefbe6"]},{"id":"ITEM-2","itemData":{"DOI":"10.1088/1748-9326/abdae9","ISSN":"1748-9326","abstract":"Carbon pricing has been hailed as an essential component of any sensible climate policy. Internalize the externalities, the logic goes, and polluters will change their behavior. The theory is elegant, but has carbon pricing worked in practice? Despite a voluminous literature on the topic, there are surprisingly few works that conduct an ex-post analysis, examining how carbon pricing has actually performed. This paper provides a meta-review of ex-post quantitative evaluations of carbon pricing policies around the world since 1990. Four findings stand out. First, though carbon pricing has dominated many political discussions of climate change, only 37 studies assess the actual effects of the policy on emissions reductions, and the vast majority of these are focused on Europe. Second, the majority of studies suggest that the aggregate reductions from carbon pricing on emissions are limited-generally between 0% and 2% per year. However, there is considerable variation across sectors. Third, in general, carbon taxes perform better than emissions trading schemes (ETSs). Finally, studies of the EU-ETS, the oldest emissions trading scheme, indicate limited average annual reductions-ranging from 0% to 1.5% per annum. For comparison, the IPCC states that emissions must fall by 45% below 2010 levels by 2030 in order to limit warming to 1.5 degrees Celsius-the goal set by the Paris Agreement (IPCC 2018). Overall, the evidence indicates that carbon pricing has a limited impact on emissions. Background","author":[{"dropping-particle":"","family":"Green","given":"Jessica F.","non-dropping-particle":"","parse-names":false,"suffix":""}],"container-title":"Environmental Research Letters","id":"ITEM-2","issued":{"date-parts":[["2021"]]},"title":"Does carbon pricing reduce emissions? A review of ex-post analyses","type":"article-journal"},"uris":["http://www.mendeley.com/documents/?uuid=17147fc9-b8d5-4daf-a9ca-254bd1fe4ad0"]}],"mendeley":{"formattedCitation":"(Green, 2021; Sterner, 2015)","plainTextFormattedCitation":"(Green, 2021; Sterner, 2015)","previouslyFormattedCitation":"(Green, 2021; Sterner, 2015)"},"properties":{"noteIndex":0},"schema":"https://github.com/citation-style-language/schema/raw/master/csl-citation.json"}</w:instrText>
      </w:r>
      <w:r w:rsidR="00DD71EF" w:rsidRPr="004F10E0">
        <w:rPr>
          <w:rFonts w:cs="Calibri"/>
        </w:rPr>
        <w:fldChar w:fldCharType="separate"/>
      </w:r>
      <w:r w:rsidR="00DD71EF" w:rsidRPr="004F10E0">
        <w:rPr>
          <w:rFonts w:cs="Calibri"/>
        </w:rPr>
        <w:t>(Green, 2021; Sterner, 2015)</w:t>
      </w:r>
      <w:r w:rsidR="00DD71EF" w:rsidRPr="004F10E0">
        <w:rPr>
          <w:rFonts w:cs="Calibri"/>
        </w:rPr>
        <w:fldChar w:fldCharType="end"/>
      </w:r>
      <w:r w:rsidR="00DD71EF" w:rsidRPr="004F10E0">
        <w:rPr>
          <w:rFonts w:cs="Calibri"/>
        </w:rPr>
        <w:t xml:space="preserve">. </w:t>
      </w:r>
      <w:r w:rsidR="00DD71EF" w:rsidRPr="002E5DFF">
        <w:t>This</w:t>
      </w:r>
      <w:r w:rsidR="00DD71EF">
        <w:t xml:space="preserve"> study </w:t>
      </w:r>
      <w:r w:rsidR="00DD71EF" w:rsidRPr="002E5DFF">
        <w:t xml:space="preserve">complements prior analysis on the impact of carbon pricing on carbon dioxide emissions which tends to be at country or regional scales. </w:t>
      </w:r>
      <w:r w:rsidR="00DD71EF" w:rsidRPr="00250295">
        <w:rPr>
          <w:rFonts w:cs="Calibri"/>
        </w:rPr>
        <w:t xml:space="preserve">This </w:t>
      </w:r>
      <w:r w:rsidR="00DD71EF">
        <w:rPr>
          <w:rFonts w:cs="Calibri"/>
        </w:rPr>
        <w:t>paper</w:t>
      </w:r>
      <w:r w:rsidR="00DD71EF" w:rsidRPr="00250295">
        <w:rPr>
          <w:rFonts w:cs="Calibri"/>
        </w:rPr>
        <w:t xml:space="preserve"> will be </w:t>
      </w:r>
      <w:r w:rsidR="00DD71EF">
        <w:rPr>
          <w:rFonts w:cs="Calibri"/>
        </w:rPr>
        <w:t xml:space="preserve">one of the first studies to </w:t>
      </w:r>
      <w:r w:rsidR="00DD71EF" w:rsidRPr="004F10E0">
        <w:rPr>
          <w:rFonts w:cs="Calibri"/>
        </w:rPr>
        <w:t>empirically assesses co-benefits of carbon pricing. The extent of these co-benefits is important to understand as it could provide countries with additional local motivation for employing carbon pricing, beyond the global motivations related to reduction in climate change risk</w:t>
      </w:r>
      <w:r w:rsidR="00DD71EF">
        <w:rPr>
          <w:rFonts w:cs="Calibri"/>
        </w:rPr>
        <w:t xml:space="preserve">. </w:t>
      </w:r>
    </w:p>
    <w:p w14:paraId="39859F48" w14:textId="07DFE72C" w:rsidR="00DD71EF" w:rsidRPr="002E5DFF" w:rsidRDefault="00DD71EF" w:rsidP="00DD71EF">
      <w:pPr>
        <w:jc w:val="both"/>
      </w:pPr>
      <w:r w:rsidRPr="002E5DFF">
        <w:t xml:space="preserve">Separate literatures have started to emerge on a range of empirical carbon-pricing issues. For example, there is a distinguishable literature on public acceptability </w:t>
      </w:r>
      <w:r w:rsidRPr="002E5DFF">
        <w:fldChar w:fldCharType="begin" w:fldLock="1"/>
      </w:r>
      <w:r w:rsidRPr="002E5DFF">
        <w:instrText>ADDIN CSL_CITATION {"citationItems":[{"id":"ITEM-1","itemData":{"DOI":"10.1002/wcc.531","ISSN":"17577799","abstract":"Carbon taxes represent a cost-effective way to steer the economy toward a greener future. In the real world, their application has however been limited. In this paper, we address one of the main obstacles to carbon taxes: public opposition. We identify drivers of and barriers to public support, and, under the form of stylized facts, provide general lessons on the acceptability of carbon taxes. We derive our lessons from a growing literature, as well as from a combination of policy “failures” and “successes.” Based on our stylized facts, we formulate a set of suggestions concerning the design of carbon taxes. We consider the use of trial periods, tax escalators, environmental earmarking, lump-sum transfers, tax rebates, and advanced communication strategies, among others. This paper contributes to the policy debate about carbon taxes, hopefully leading to more success stories and fewer policy failures. This article is categorized under: Climate Economics &gt; Economics of Mitigation.","author":[{"dropping-particle":"","family":"Carattini","given":"Stefano","non-dropping-particle":"","parse-names":false,"suffix":""},{"dropping-particle":"","family":"Carvalho","given":"Maria","non-dropping-particle":"","parse-names":false,"suffix":""},{"dropping-particle":"","family":"Fankhauser","given":"Sam","non-dropping-particle":"","parse-names":false,"suffix":""}],"container-title":"Wiley Interdisciplinary Reviews: Climate Change","id":"ITEM-1","issue":"5","issued":{"date-parts":[["2018"]]},"page":"1-26","title":"Overcoming public resistance to carbon taxes","type":"article-journal","volume":"9"},"uris":["http://www.mendeley.com/documents/?uuid=f74b4b3e-13cf-4bb1-8528-cade6036b7d1"]}],"mendeley":{"formattedCitation":"(Carattini et al., 2018)","plainTextFormattedCitation":"(Carattini et al., 2018)","previouslyFormattedCitation":"(Carattini et al., 2018)"},"properties":{"noteIndex":0},"schema":"https://github.com/citation-style-language/schema/raw/master/csl-citation.json"}</w:instrText>
      </w:r>
      <w:r w:rsidRPr="002E5DFF">
        <w:fldChar w:fldCharType="separate"/>
      </w:r>
      <w:r w:rsidRPr="002E5DFF">
        <w:t>(Carattini et al., 2018)</w:t>
      </w:r>
      <w:r w:rsidRPr="002E5DFF">
        <w:fldChar w:fldCharType="end"/>
      </w:r>
      <w:r w:rsidRPr="002E5DFF">
        <w:t xml:space="preserve">. Political feasibility analysis on what leads to carbon price uptake or intensity differences across countries is another important area </w:t>
      </w:r>
      <w:r w:rsidRPr="002E5DFF">
        <w:fldChar w:fldCharType="begin" w:fldLock="1"/>
      </w:r>
      <w:r w:rsidRPr="002E5DFF">
        <w:instrText>ADDIN CSL_CITATION {"citationItems":[{"id":"ITEM-1","itemData":{"DOI":"10.1016/j.enpol.2020.111541","ISSN":"03014215","abstract":"Economists generally view carbon pricing as an efficient policy to address externalities from energy use, but political feasibility can be a persistent issue. This paper aims to comprehensively consider underlying factors contributing to carbon-pricing magnitude including environmental, social, political, and economic variables. We use the between estimator and focus on exogenous variables to explain continuous carbon-pricing variables for a global sample of countries. We find that larger coal reserves per capita have a negative effect on the log of the product of carbon-price levels and coverage. Control of corruption is a key governance variable that is positively associated with carbon-pricing outcomes. Another important political dimension is the degree of political globalisation. For economic resources, there is evidence that larger stocks of domestic credit help to enable carbon pricing. There is some evidence that climate change awareness is positively associated with carbon pricing, but the proportion perceiving climate change as a serious threat is negatively associated with carbon pricing. Our global results complement case study approaches that consider carbon-pricing design for local contexts.","author":[{"dropping-particle":"","family":"Best","given":"Rohan","non-dropping-particle":"","parse-names":false,"suffix":""},{"dropping-particle":"","family":"Zhang","given":"Qiu Yue","non-dropping-particle":"","parse-names":false,"suffix":""}],"container-title":"Energy Policy","id":"ITEM-1","issue":"January","issued":{"date-parts":[["2020"]]},"page":"111541","publisher":"Elsevier Ltd","title":"What explains carbon-pricing variation between countries?","type":"article-journal","volume":"143"},"uris":["http://www.mendeley.com/documents/?uuid=5297e5e4-2b29-47fc-818e-65454ca163a0"]},{"id":"ITEM-2","itemData":{"DOI":"10.1162/glep_a_00549","ISSN":"15263800","abstract":"Carbon pricing is widely considered a key policy instrument for achieving substantial climate change mitigation. However, implementation remains patchy and price levels vary significantly across countries and regions. In this article, we analyze the structural social, political, and economic conditions under which carbon prices have been implemented so far. We estimate a Tobit regression model to investigate variations in explicit carbon prices over 262 national and subnational jurisdictions. Our results highlight wellgoverned institutions and public attitudes as the most important conditions for carbon pricing and characterize fossil fuel consumption as a barrier to the implementation of carbon prices. The results suggest that governance and public attitude need to be integrated into political economy analysis. Policy makers should take regulatory capacities and public attitudes seriously when designing carbon pricing policies.","author":[{"dropping-particle":"","family":"Levi","given":"Sebastian","non-dropping-particle":"","parse-names":false,"suffix":""},{"dropping-particle":"","family":"Flachsland","given":"Christian","non-dropping-particle":"","parse-names":false,"suffix":""},{"dropping-particle":"","family":"Jakob","given":"Michael","non-dropping-particle":"","parse-names":false,"suffix":""}],"container-title":"Global Environmental Politics","id":"ITEM-2","issue":"2","issued":{"date-parts":[["2020"]]},"page":"128-156","title":"Political economy determinants of carbon pricing","type":"article-journal","volume":"20"},"uris":["http://www.mendeley.com/documents/?uuid=a1773dde-6e94-409b-b1ed-26d37eccf054"]}],"mendeley":{"formattedCitation":"(Best and Zhang, 2020; Levi et al., 2020)","plainTextFormattedCitation":"(Best and Zhang, 2020; Levi et al., 2020)","previouslyFormattedCitation":"(Best and Zhang, 2020; Levi et al., 2020)"},"properties":{"noteIndex":0},"schema":"https://github.com/citation-style-language/schema/raw/master/csl-citation.json"}</w:instrText>
      </w:r>
      <w:r w:rsidRPr="002E5DFF">
        <w:fldChar w:fldCharType="separate"/>
      </w:r>
      <w:r w:rsidRPr="002E5DFF">
        <w:t>(Best and Zhang, 2020; Levi et al., 2020)</w:t>
      </w:r>
      <w:r w:rsidRPr="002E5DFF">
        <w:fldChar w:fldCharType="end"/>
      </w:r>
      <w:r w:rsidRPr="002E5DFF">
        <w:t xml:space="preserve">. There is great potential for new models and frameworks to further understand what drives carbon pricing in general </w:t>
      </w:r>
      <w:r w:rsidRPr="002E5DFF">
        <w:fldChar w:fldCharType="begin" w:fldLock="1"/>
      </w:r>
      <w:r w:rsidRPr="002E5DFF">
        <w:instrText>ADDIN CSL_CITATION {"citationItems":[{"id":"ITEM-1","itemData":{"DOI":"10.1016/j.jclepro.2019.118671","ISSN":"09596526","abstract":"Carbon trading is one of the important mechanisms used to reduce carbon dioxide emissions. The increasing interest in the carbon trading market has heightened the need to decrease the prediction error of the carbon price. In this paper, a new hybrid model for carbon price forecasting is proposed, and the secondary decomposition algorithm is innovatively introduced into carbon price forecasting. First, time series data were decomposed into several intrinsic modal functions by empirical mode decomposition (EMD). Second, the first intrinsic mode function (IMF1) was further decomposed by variational mode decomposition (VMD). Then, the model input was determined by partial autocorrelation analysis (PACF). Finally, the back propagation (BP) neural network model optimized by genetic algorithm (GA) was utilized for prediction. In the empirical analysis of the Hubei market, the proposed model outperforms other comparative models. The mean absolute percentage error (MAPE), goodness of fit (R2) and root mean square error (RMSE) of the model are 1.7577%, 0.9929 and 0.5441, respectively. In the complementary cases of the Beijing and Shanghai carbon markets, the model also performs best. The results suggest that the proposed model is effective and robust and could predict carbon prices more accurately.","author":[{"dropping-particle":"","family":"Sun","given":"Wei","non-dropping-particle":"","parse-names":false,"suffix":""},{"dropping-particle":"","family":"Huang","given":"Chenchen","non-dropping-particle":"","parse-names":false,"suffix":""}],"container-title":"Journal of Cleaner Production","id":"ITEM-1","issued":{"date-parts":[["2020"]]},"page":"118671","publisher":"Elsevier Ltd","title":"A carbon price prediction model based on secondary decomposition algorithm and optimized back propagation neural network","type":"article-journal","volume":"243"},"uris":["http://www.mendeley.com/documents/?uuid=0d5048ba-fe5a-40e2-8da8-343284bbef7a"]},{"id":"ITEM-2","itemData":{"DOI":"10.1016/j.jclepro.2020.120378","ISSN":"09596526","abstract":"Current carbon trading price forecasting research ignores the significance of multiple influence factors, feature selection, preprocessing of the carbon price and its exogenous variables, multi-objective intelligence optimization and kernel-based models in terms of improving prediction validity, which may lead to an undesirable forecasting performance. As a result, a novel hybrid forecasting framework that considers multiple influence factors is developed for carbon price forecasting, which enjoys the merits of some new algorithms and successfully overcomes the challenges of multiple influence factor-based carbon price forecasting. Specifically, both the original carbon price and its exogenous variables benefit from advanced data preprocessing technology. Moreover, feature selection is proposed to determine the optimal feature for modeling the carbon price. Meanwhile, to overcome the limitations of the extreme learning machine and traditional artificial neural network models and obtain desirable, accurate and stable forecasts, the optimal kernel-based extreme learning machine model with good generalizability and stability is developed, grounded in a newly proposed optimizer named the multi-objective chaotic sine cosine algorithm. Experiments, analyses and discussion of the results prove that the developed framework outperforms all compared models which can be as an effective forecasting tool for forecasting and management of the carbon trading market.","author":[{"dropping-particle":"","family":"Hao","given":"Yan","non-dropping-particle":"","parse-names":false,"suffix":""},{"dropping-particle":"","family":"Tian","given":"Chengshi","non-dropping-particle":"","parse-names":false,"suffix":""}],"container-title":"Journal of Cleaner Production","id":"ITEM-2","issued":{"date-parts":[["2020"]]},"page":"120378","publisher":"Elsevier Ltd","title":"A hybrid framework for carbon trading price forecasting: The role of multiple influence factor","type":"article-journal","volume":"262"},"uris":["http://www.mendeley.com/documents/?uuid=27e0ceff-8fa5-495a-a9b0-9202fca5ff2c"]}],"mendeley":{"formattedCitation":"(Hao and Tian, 2020; Sun and Huang, 2020)","plainTextFormattedCitation":"(Hao and Tian, 2020; Sun and Huang, 2020)","previouslyFormattedCitation":"(Hao and Tian, 2020; Sun and Huang, 2020)"},"properties":{"noteIndex":0},"schema":"https://github.com/citation-style-language/schema/raw/master/csl-citation.json"}</w:instrText>
      </w:r>
      <w:r w:rsidRPr="002E5DFF">
        <w:fldChar w:fldCharType="separate"/>
      </w:r>
      <w:r w:rsidRPr="002E5DFF">
        <w:t>(</w:t>
      </w:r>
      <w:r w:rsidR="00CA045A">
        <w:t>Nazifi et al., 2021</w:t>
      </w:r>
      <w:r w:rsidRPr="002E5DFF">
        <w:t>; Sun and Huang, 2020)</w:t>
      </w:r>
      <w:r w:rsidRPr="002E5DFF">
        <w:fldChar w:fldCharType="end"/>
      </w:r>
      <w:r w:rsidRPr="002E5DFF">
        <w:t xml:space="preserve">. Understanding has also been advanced for specific schemes such as in China and the European Union </w:t>
      </w:r>
      <w:r w:rsidRPr="002E5DFF">
        <w:fldChar w:fldCharType="begin" w:fldLock="1"/>
      </w:r>
      <w:r w:rsidRPr="002E5DFF">
        <w:instrText>ADDIN CSL_CITATION {"citationItems":[{"id":"ITEM-1","itemData":{"DOI":"10.1016/j.jclepro.2020.124519","ISSN":"09596526","abstract":"The global economy is consistently concerned with what can accurately predict the price of carbon allowance, a trading concept that resulted from the need to mitigate carbon emissions. This motivates this paper to examine the predictive role of energy prices in the forecast of European Union carbon allowance prices. Using the novel Feasible Quasi Generalized Least Squares estimator which is able to account for the effects of conditional heteroskedasticity, serial correlation, persistence and endogeneity in the predictors, the symmetric predictive model is compared with the asymmetric predictive model to determine if the latter outperforms the former in the forecast performance. The results show that the carbon allowance prices are significantly predicted by all the energy prices considered. However, the asymmetric predictive models for oil and coal prices offer a better forecast performance than their symmetric versions. For natural gas, the results appear mixed, as asymmetries only matter when lower sample size, i.e. 50% of the full sample size, is used. Comparison of the proposed models with traditional models reveals that the former outperform the latter. Robustness is provided for these findings through different sample sizes, various forecast horizons and alternative forecast test. Policy inferences for carbon emissions mitigation and investment purposes are drawn accordingly.","author":[{"dropping-particle":"","family":"Adekoya","given":"Oluwasegun B.","non-dropping-particle":"","parse-names":false,"suffix":""}],"container-title":"Journal of Cleaner Production","id":"ITEM-1","issued":{"date-parts":[["2021"]]},"page":"124519","publisher":"Elsevier Ltd","title":"Predicting carbon allowance prices with energy prices: A new approach","type":"article-journal","volume":"282"},"uris":["http://www.mendeley.com/documents/?uuid=f5dd99f7-b012-4cf7-8e2c-8cb558bcfbfa"]},{"id":"ITEM-2","itemData":{"DOI":"10.1016/j.jclepro.2020.123469","ISSN":"09596526","abstract":"Carbon prices are low and fluctuate greatly since Chinese carbon emissions trading scheme pilots were operated. This paper discusses the price drivers in the pilots, using structural breaks test and autoregressive distributed lag model. The results indicate that oversupply of allowances, low auction prices and use of China certified emission reductions will cause remarkable decline on carbon prices; the expansion of carbon market and centralized trading will rise carbon prices. Oil prices are positively correlated with carbon prices, and coal prices are negatively related with carbon prices. Carbon-intensive product prices also affect carbon prices. Chemical prices are positively linked with carbon prices in Shenzhen, while negatively related with those in Beijing and Shanghai, for differences in sectoral coverage. Nonferrous prices have positive impacts on carbon prices in Beijing but negative impacts on those in Shenzhen, for differences in industrial structure. Financial markets and weather have limited impacts on carbon prices. Our results provide policy implications for the development of pilots and the national carbon market.","author":[{"dropping-particle":"","family":"Ji","given":"Chang Jing","non-dropping-particle":"","parse-names":false,"suffix":""},{"dropping-particle":"","family":"Hu","given":"Yu Jie","non-dropping-particle":"","parse-names":false,"suffix":""},{"dropping-particle":"","family":"Tang","given":"Bao Jun","non-dropping-particle":"","parse-names":false,"suffix":""},{"dropping-particle":"","family":"Qu","given":"Shen","non-dropping-particle":"","parse-names":false,"suffix":""}],"container-title":"Journal of Cleaner Production","id":"ITEM-2","issue":"April 2006","issued":{"date-parts":[["2021"]]},"page":"123469","publisher":"Elsevier Ltd","title":"Price drivers in the carbon emissions trading scheme: Evidence from Chinese emissions trading scheme pilots","type":"article-journal","volume":"278"},"uris":["http://www.mendeley.com/documents/?uuid=d786aff4-3b06-4ca7-b127-1d0995fa2d35"]}],"mendeley":{"formattedCitation":"(Adekoya, 2021; Ji et al., 2021)","plainTextFormattedCitation":"(Adekoya, 2021; Ji et al., 2021)","previouslyFormattedCitation":"(Adekoya, 2021; Ji et al., 2021)"},"properties":{"noteIndex":0},"schema":"https://github.com/citation-style-language/schema/raw/master/csl-citation.json"}</w:instrText>
      </w:r>
      <w:r w:rsidRPr="002E5DFF">
        <w:fldChar w:fldCharType="separate"/>
      </w:r>
      <w:r w:rsidRPr="002E5DFF">
        <w:t>(Adekoya, 2021; Ji et al., 2021)</w:t>
      </w:r>
      <w:r w:rsidRPr="002E5DFF">
        <w:fldChar w:fldCharType="end"/>
      </w:r>
      <w:r w:rsidRPr="002E5DFF">
        <w:t xml:space="preserve">. After understanding what drives carbon pricing across countries and within schemes, a subsequent issue of importance is the effect of these carbon prices on environmental and sustainability outcomes. </w:t>
      </w:r>
    </w:p>
    <w:p w14:paraId="563C6160" w14:textId="373AD470" w:rsidR="002E5DFF" w:rsidRDefault="002E5DFF" w:rsidP="00FB5985">
      <w:pPr>
        <w:jc w:val="both"/>
      </w:pPr>
      <w:r w:rsidRPr="002E5DFF">
        <w:t>We find that carbon pricing reduces total-greenhouse-gas and carbon-dioxide emissions by approximately 3 percentage points per year on average. There is a similar impact on particulate matter exposure. There is some evidence of impacts on some greenhouse gases such as methane and nitrous oxide. This is particularly the case for nitrous oxide emissions from the energy sector, as expected given that carbon pricing has often targeted energy sectors.</w:t>
      </w:r>
    </w:p>
    <w:p w14:paraId="65708002" w14:textId="77777777" w:rsidR="002E5DFF" w:rsidRPr="002E5DFF" w:rsidRDefault="002E5DFF" w:rsidP="002E5DFF">
      <w:pPr>
        <w:jc w:val="both"/>
      </w:pPr>
      <w:r w:rsidRPr="002E5DFF">
        <w:t>This paper seeks to make three main contributions related to the environmental and sustainability outcomes of carbon pricing. The first two contributions relate to expanding the breadth of prior analysis in multiple dimensions. This involves analysis of co-benefits of carbon pricing through reduction in non-CO</w:t>
      </w:r>
      <w:r w:rsidRPr="002E5DFF">
        <w:rPr>
          <w:vertAlign w:val="subscript"/>
        </w:rPr>
        <w:t>2</w:t>
      </w:r>
      <w:r w:rsidRPr="002E5DFF">
        <w:t xml:space="preserve"> emissions, adding to prior analysis on the impact on CO</w:t>
      </w:r>
      <w:r w:rsidRPr="002E5DFF">
        <w:rPr>
          <w:vertAlign w:val="subscript"/>
        </w:rPr>
        <w:t>2</w:t>
      </w:r>
      <w:r w:rsidRPr="002E5DFF">
        <w:t xml:space="preserve"> emissions. The global focus of the study is the other means of broadening analysis. Our third contribution is the way in which interpretation of the analysis is conducted, providing perspective that may be useful for future studies. </w:t>
      </w:r>
    </w:p>
    <w:p w14:paraId="27EBA84A" w14:textId="77777777" w:rsidR="002E5DFF" w:rsidRDefault="002E5DFF" w:rsidP="00FB5985">
      <w:pPr>
        <w:jc w:val="both"/>
      </w:pPr>
    </w:p>
    <w:p w14:paraId="16A3F760" w14:textId="77777777" w:rsidR="00D83FE8" w:rsidRDefault="00D83FE8" w:rsidP="008C0A26">
      <w:pPr>
        <w:jc w:val="both"/>
        <w:rPr>
          <w:lang w:val="en-US"/>
        </w:rPr>
      </w:pPr>
    </w:p>
    <w:p w14:paraId="2B55E535" w14:textId="77777777" w:rsidR="00250295" w:rsidRPr="00250295" w:rsidRDefault="00250295" w:rsidP="00250295">
      <w:pPr>
        <w:pStyle w:val="Titolo2"/>
        <w:jc w:val="both"/>
        <w:rPr>
          <w:rFonts w:ascii="Times New Roman" w:hAnsi="Times New Roman"/>
          <w:i w:val="0"/>
          <w:sz w:val="24"/>
          <w:szCs w:val="24"/>
        </w:rPr>
      </w:pPr>
      <w:r>
        <w:rPr>
          <w:rFonts w:ascii="Times New Roman" w:hAnsi="Times New Roman"/>
          <w:i w:val="0"/>
          <w:sz w:val="24"/>
          <w:szCs w:val="24"/>
        </w:rPr>
        <w:t>M</w:t>
      </w:r>
      <w:r w:rsidR="00BE1B9B">
        <w:rPr>
          <w:rFonts w:ascii="Times New Roman" w:hAnsi="Times New Roman"/>
          <w:i w:val="0"/>
          <w:sz w:val="24"/>
          <w:szCs w:val="24"/>
        </w:rPr>
        <w:t>e</w:t>
      </w:r>
      <w:r>
        <w:rPr>
          <w:rFonts w:ascii="Times New Roman" w:hAnsi="Times New Roman"/>
          <w:i w:val="0"/>
          <w:sz w:val="24"/>
          <w:szCs w:val="24"/>
        </w:rPr>
        <w:t>thods</w:t>
      </w:r>
    </w:p>
    <w:p w14:paraId="48927CF4" w14:textId="390537AE" w:rsidR="00B31280" w:rsidRDefault="005B59B0" w:rsidP="003D4D38">
      <w:pPr>
        <w:jc w:val="both"/>
        <w:rPr>
          <w:rFonts w:cs="Calibri"/>
        </w:rPr>
      </w:pPr>
      <w:r w:rsidRPr="005B59B0">
        <w:rPr>
          <w:rFonts w:cs="Calibri"/>
        </w:rPr>
        <w:t>Th</w:t>
      </w:r>
      <w:r w:rsidR="00A169DD">
        <w:rPr>
          <w:rFonts w:cs="Calibri"/>
        </w:rPr>
        <w:t>is</w:t>
      </w:r>
      <w:r w:rsidRPr="005B59B0">
        <w:rPr>
          <w:rFonts w:cs="Calibri"/>
        </w:rPr>
        <w:t xml:space="preserve"> paper empirically assesses co-benefits of carbon pricing.</w:t>
      </w:r>
      <w:r>
        <w:rPr>
          <w:rFonts w:cs="Calibri"/>
        </w:rPr>
        <w:t xml:space="preserve"> </w:t>
      </w:r>
      <w:r w:rsidR="00B31280" w:rsidRPr="00B31280">
        <w:rPr>
          <w:rFonts w:cs="Calibri"/>
        </w:rPr>
        <w:t>A fundamental concept related to cleaner production is that there are by-products along with the intended outputs of production. For example, production of energy through fossil-fuel combustion involves the emission of pollutants such as carbon dioxide, particulate matter, methane, and nitrous oxide. This can be reflected in a general production function</w:t>
      </w:r>
      <w:r w:rsidR="00B31280">
        <w:rPr>
          <w:rFonts w:cs="Calibri"/>
        </w:rPr>
        <w:t xml:space="preserve">. </w:t>
      </w:r>
      <w:r w:rsidR="00B31280" w:rsidRPr="00B31280">
        <w:rPr>
          <w:rFonts w:cs="Calibri"/>
        </w:rPr>
        <w:t xml:space="preserve">The inputs for production vary across economic sectors. This motivates attempts to control for economic structures in </w:t>
      </w:r>
      <w:r w:rsidR="00B31280">
        <w:rPr>
          <w:rFonts w:cs="Calibri"/>
        </w:rPr>
        <w:t xml:space="preserve">our </w:t>
      </w:r>
      <w:r w:rsidR="00B31280" w:rsidRPr="00B31280">
        <w:rPr>
          <w:rFonts w:cs="Calibri"/>
        </w:rPr>
        <w:t>empirical assessments that try to explain waste-product outcomes.</w:t>
      </w:r>
    </w:p>
    <w:p w14:paraId="1347A34F" w14:textId="340E7F33" w:rsidR="00732F3E" w:rsidRDefault="00B31280" w:rsidP="00B31280">
      <w:pPr>
        <w:jc w:val="both"/>
        <w:rPr>
          <w:rFonts w:eastAsiaTheme="minorHAnsi"/>
          <w:sz w:val="24"/>
          <w:szCs w:val="24"/>
        </w:rPr>
      </w:pPr>
      <w:r>
        <w:rPr>
          <w:rFonts w:cs="Calibri"/>
        </w:rPr>
        <w:t xml:space="preserve">Followed by </w:t>
      </w:r>
      <w:r w:rsidRPr="00B31280">
        <w:rPr>
          <w:rFonts w:cs="Calibri"/>
        </w:rPr>
        <w:t xml:space="preserve">the Kaya Identity </w:t>
      </w:r>
      <w:r w:rsidRPr="00B31280">
        <w:rPr>
          <w:rFonts w:cs="Calibri"/>
        </w:rPr>
        <w:fldChar w:fldCharType="begin" w:fldLock="1"/>
      </w:r>
      <w:r w:rsidRPr="00B31280">
        <w:rPr>
          <w:rFonts w:cs="Calibri"/>
        </w:rPr>
        <w:instrText>ADDIN CSL_CITATION {"citationItems":[{"id":"ITEM-1","itemData":{"abstract":"Impact of carbon dioxide emission control on GNP growth: Interpretation of proposed scenarios. Paper presented to the IPCC Energy and Industry Subgroup, Response Strategies Working Group, Paris (photocopy).","author":[{"dropping-particle":"","family":"Kaya","given":"Y","non-dropping-particle":"","parse-names":false,"suffix":""}],"id":"ITEM-1","issued":{"date-parts":[["1989"]]},"title":"Impact of Carbon Dioxide Emission Control on GNP Growth: Interpretation of Proposed Scenarios","type":"report"},"uris":["http://www.mendeley.com/documents/?uuid=d7beae84-04b6-4c3a-95f7-a85c08c6c95f"]}],"mendeley":{"formattedCitation":"(Kaya, 1989)","plainTextFormattedCitation":"(Kaya, 1989)"},"properties":{"noteIndex":0},"schema":"https://github.com/citation-style-language/schema/raw/master/csl-citation.json"}</w:instrText>
      </w:r>
      <w:r w:rsidRPr="00B31280">
        <w:rPr>
          <w:rFonts w:cs="Calibri"/>
        </w:rPr>
        <w:fldChar w:fldCharType="separate"/>
      </w:r>
      <w:r w:rsidRPr="00B31280">
        <w:rPr>
          <w:rFonts w:cs="Calibri"/>
        </w:rPr>
        <w:t>(Kaya, 1989)</w:t>
      </w:r>
      <w:r w:rsidRPr="00B31280">
        <w:rPr>
          <w:rFonts w:cs="Calibri"/>
        </w:rPr>
        <w:fldChar w:fldCharType="end"/>
      </w:r>
      <w:r>
        <w:rPr>
          <w:rFonts w:cs="Calibri"/>
        </w:rPr>
        <w:t>,</w:t>
      </w:r>
      <w:r w:rsidR="00A169DD">
        <w:rPr>
          <w:rFonts w:cs="Calibri"/>
        </w:rPr>
        <w:t>in our study,</w:t>
      </w:r>
      <w:r>
        <w:rPr>
          <w:rFonts w:cs="Calibri"/>
        </w:rPr>
        <w:t xml:space="preserve"> </w:t>
      </w:r>
      <w:r w:rsidRPr="00B31280">
        <w:rPr>
          <w:rFonts w:cs="Calibri"/>
        </w:rPr>
        <w:t xml:space="preserve">the level of emissions </w:t>
      </w:r>
      <w:r>
        <w:rPr>
          <w:rFonts w:cs="Calibri"/>
        </w:rPr>
        <w:t>is</w:t>
      </w:r>
      <w:r w:rsidRPr="00B31280">
        <w:rPr>
          <w:rFonts w:cs="Calibri"/>
        </w:rPr>
        <w:t xml:space="preserve"> decomposed into level-effects relating to population, GDP per capita, energy intensity, and carbon </w:t>
      </w:r>
      <w:proofErr w:type="spellStart"/>
      <w:r w:rsidRPr="00B31280">
        <w:rPr>
          <w:rFonts w:cs="Calibri"/>
        </w:rPr>
        <w:t>intensity.</w:t>
      </w:r>
      <w:r>
        <w:rPr>
          <w:rFonts w:cs="Calibri"/>
        </w:rPr>
        <w:t>Thus,i</w:t>
      </w:r>
      <w:r w:rsidRPr="00B31280">
        <w:rPr>
          <w:rFonts w:cs="Calibri"/>
        </w:rPr>
        <w:t>n</w:t>
      </w:r>
      <w:proofErr w:type="spellEnd"/>
      <w:r w:rsidRPr="00B31280">
        <w:rPr>
          <w:rFonts w:cs="Calibri"/>
        </w:rPr>
        <w:t xml:space="preserve"> our econometric approach, we use the level of these variables to explain the subsequent growth in emissions.</w:t>
      </w:r>
      <w:r>
        <w:rPr>
          <w:rFonts w:cs="Calibri"/>
        </w:rPr>
        <w:t xml:space="preserve"> </w:t>
      </w:r>
      <w:r w:rsidRPr="00B31280">
        <w:rPr>
          <w:rFonts w:cs="Calibri"/>
        </w:rPr>
        <w:t>To try to identify the impact of carbon pricing, it is important to attempt to separate its impact from other correlated variables. For instance, countries with carbon pricing might also be more likely to introduce other climate or energy policies. This motivates the inclusion of other policies as control variables</w:t>
      </w:r>
      <w:r>
        <w:rPr>
          <w:rFonts w:cs="Calibri"/>
        </w:rPr>
        <w:t xml:space="preserve"> in our model</w:t>
      </w:r>
      <w:r w:rsidRPr="00B31280">
        <w:rPr>
          <w:rFonts w:cs="Calibri"/>
        </w:rPr>
        <w:t>.</w:t>
      </w:r>
      <w:r w:rsidRPr="00B31280">
        <w:rPr>
          <w:rFonts w:eastAsiaTheme="minorHAnsi"/>
          <w:sz w:val="24"/>
          <w:szCs w:val="24"/>
        </w:rPr>
        <w:t xml:space="preserve"> </w:t>
      </w:r>
    </w:p>
    <w:p w14:paraId="73FB910C" w14:textId="1A440DCC" w:rsidR="00B31280" w:rsidRDefault="00732F3E" w:rsidP="003D4D38">
      <w:pPr>
        <w:jc w:val="both"/>
        <w:rPr>
          <w:rFonts w:cs="Calibri"/>
        </w:rPr>
      </w:pPr>
      <w:r w:rsidRPr="00732F3E">
        <w:rPr>
          <w:rFonts w:cs="Calibri"/>
        </w:rPr>
        <w:t>For non-CO</w:t>
      </w:r>
      <w:r w:rsidRPr="00732F3E">
        <w:rPr>
          <w:rFonts w:cs="Calibri"/>
          <w:vertAlign w:val="subscript"/>
        </w:rPr>
        <w:t>2</w:t>
      </w:r>
      <w:r w:rsidRPr="00732F3E">
        <w:rPr>
          <w:rFonts w:cs="Calibri"/>
        </w:rPr>
        <w:t xml:space="preserve"> greenhouse gases, data are available from the International Energy Agency (IEA) for select years such as 2010, 2012, and 2015 </w:t>
      </w:r>
      <w:r w:rsidRPr="00732F3E">
        <w:rPr>
          <w:rFonts w:cs="Calibri"/>
        </w:rPr>
        <w:fldChar w:fldCharType="begin" w:fldLock="1"/>
      </w:r>
      <w:r w:rsidRPr="00732F3E">
        <w:rPr>
          <w:rFonts w:cs="Calibri"/>
        </w:rPr>
        <w:instrText>ADDIN CSL_CITATION {"citationItems":[{"id":"ITEM-1","itemData":{"author":[{"dropping-particle":"","family":"IEA","given":"","non-dropping-particle":"","parse-names":false,"suffix":""}],"container-title":"International Energy Agency","id":"ITEM-1","issued":{"date-parts":[["2021"]]},"title":"IEA CO2 Emissions from Fuel Combustion Statistics","type":"webpage"},"uris":["http://www.mendeley.com/documents/?uuid=052f58b0-045b-4e92-903b-3dd1f00a9cde"]}],"mendeley":{"formattedCitation":"(IEA, 2021a)","plainTextFormattedCitation":"(IEA, 2021a)","previouslyFormattedCitation":"(IEA, 2021a)"},"properties":{"noteIndex":0},"schema":"https://github.com/citation-style-language/schema/raw/master/csl-citation.json"}</w:instrText>
      </w:r>
      <w:r w:rsidRPr="00732F3E">
        <w:rPr>
          <w:rFonts w:cs="Calibri"/>
        </w:rPr>
        <w:fldChar w:fldCharType="separate"/>
      </w:r>
      <w:r w:rsidRPr="00732F3E">
        <w:rPr>
          <w:rFonts w:cs="Calibri"/>
        </w:rPr>
        <w:t>(IEA, 2021)</w:t>
      </w:r>
      <w:r w:rsidRPr="00732F3E">
        <w:rPr>
          <w:rFonts w:cs="Calibri"/>
        </w:rPr>
        <w:fldChar w:fldCharType="end"/>
      </w:r>
      <w:r w:rsidRPr="00732F3E">
        <w:rPr>
          <w:rFonts w:cs="Calibri"/>
        </w:rPr>
        <w:t>. These emissions relate to energy, agriculture, industry, and other sectors (IEA, 2021). We use a cross-sectional approach for explaining growth in these non-CO</w:t>
      </w:r>
      <w:r w:rsidRPr="00732F3E">
        <w:rPr>
          <w:rFonts w:cs="Calibri"/>
          <w:vertAlign w:val="subscript"/>
        </w:rPr>
        <w:t>2</w:t>
      </w:r>
      <w:r w:rsidRPr="00732F3E">
        <w:rPr>
          <w:rFonts w:cs="Calibri"/>
        </w:rPr>
        <w:t xml:space="preserve"> emissions. An ordinary least squares regression model with robust standard errors is </w:t>
      </w:r>
      <w:r>
        <w:rPr>
          <w:rFonts w:cs="Calibri"/>
        </w:rPr>
        <w:t>used</w:t>
      </w:r>
      <w:r w:rsidRPr="00732F3E">
        <w:rPr>
          <w:rFonts w:cs="Calibri"/>
        </w:rPr>
        <w:t xml:space="preserve">. For particulate matter, there is a panel of data that covers 2010-2017 </w:t>
      </w:r>
      <w:r w:rsidRPr="00732F3E">
        <w:rPr>
          <w:rFonts w:cs="Calibri"/>
        </w:rPr>
        <w:fldChar w:fldCharType="begin" w:fldLock="1"/>
      </w:r>
      <w:r w:rsidRPr="00732F3E">
        <w:rPr>
          <w:rFonts w:cs="Calibri"/>
        </w:rPr>
        <w:instrText>ADDIN CSL_CITATION {"citationItems":[{"id":"ITEM-1","itemData":{"author":[{"dropping-particle":"","family":"World Bank","given":"","non-dropping-particle":"","parse-names":false,"suffix":""}],"container-title":"World Devleopment Indicators","id":"ITEM-1","issued":{"date-parts":[["2021"]]},"title":"World Development Indicators","type":"webpage"},"uris":["http://www.mendeley.com/documents/?uuid=0bc9736b-8fc9-4fc3-896e-9ce4df55aad5"]}],"mendeley":{"formattedCitation":"(World Bank, 2021b)","plainTextFormattedCitation":"(World Bank, 2021b)","previouslyFormattedCitation":"(World Bank, 2021b)"},"properties":{"noteIndex":0},"schema":"https://github.com/citation-style-language/schema/raw/master/csl-citation.json"}</w:instrText>
      </w:r>
      <w:r w:rsidRPr="00732F3E">
        <w:rPr>
          <w:rFonts w:cs="Calibri"/>
        </w:rPr>
        <w:fldChar w:fldCharType="separate"/>
      </w:r>
      <w:r w:rsidRPr="00732F3E">
        <w:rPr>
          <w:rFonts w:cs="Calibri"/>
        </w:rPr>
        <w:t>(World Bank, 2021)</w:t>
      </w:r>
      <w:r w:rsidRPr="00732F3E">
        <w:rPr>
          <w:rFonts w:cs="Calibri"/>
        </w:rPr>
        <w:fldChar w:fldCharType="end"/>
      </w:r>
      <w:r w:rsidRPr="00732F3E">
        <w:rPr>
          <w:rFonts w:cs="Calibri"/>
        </w:rPr>
        <w:t>, so we use a fixed effects panel when explaining growth in particulate matter exposure.</w:t>
      </w:r>
      <w:r>
        <w:rPr>
          <w:rFonts w:cs="Calibri"/>
        </w:rPr>
        <w:t xml:space="preserve"> </w:t>
      </w:r>
      <w:r w:rsidR="00A169DD">
        <w:rPr>
          <w:rFonts w:cs="Calibri"/>
        </w:rPr>
        <w:t>For the purpose of robustness check, w</w:t>
      </w:r>
      <w:r w:rsidRPr="00732F3E">
        <w:rPr>
          <w:rFonts w:cs="Calibri"/>
        </w:rPr>
        <w:t>e also conduct separate regressions that restrict the methane and nitrous oxide variables to energy-sector emissions to focus on this sector that has generally been the target of carbon pricing schemes.</w:t>
      </w:r>
    </w:p>
    <w:p w14:paraId="6995A817" w14:textId="19051307" w:rsidR="004E5588" w:rsidRPr="00250295" w:rsidRDefault="004E5588" w:rsidP="003D4D38">
      <w:pPr>
        <w:jc w:val="both"/>
        <w:rPr>
          <w:rFonts w:cs="Calibri"/>
        </w:rPr>
      </w:pPr>
      <w:r>
        <w:rPr>
          <w:rFonts w:cs="Calibri"/>
        </w:rPr>
        <w:t xml:space="preserve"> </w:t>
      </w:r>
    </w:p>
    <w:p w14:paraId="2D5E5FF6" w14:textId="77777777" w:rsidR="00250295" w:rsidRPr="00250295" w:rsidRDefault="00250295" w:rsidP="00250295">
      <w:pPr>
        <w:pStyle w:val="Titolo2"/>
        <w:jc w:val="both"/>
        <w:rPr>
          <w:rFonts w:ascii="Times New Roman" w:hAnsi="Times New Roman"/>
          <w:i w:val="0"/>
          <w:sz w:val="24"/>
          <w:szCs w:val="24"/>
        </w:rPr>
      </w:pPr>
      <w:bookmarkStart w:id="5" w:name="_Hlk503194266"/>
      <w:r>
        <w:rPr>
          <w:rFonts w:ascii="Times New Roman" w:hAnsi="Times New Roman"/>
          <w:i w:val="0"/>
          <w:sz w:val="24"/>
          <w:szCs w:val="24"/>
        </w:rPr>
        <w:lastRenderedPageBreak/>
        <w:t>Results</w:t>
      </w:r>
    </w:p>
    <w:bookmarkEnd w:id="5"/>
    <w:p w14:paraId="79B16A83" w14:textId="5071F410" w:rsidR="00B30715" w:rsidRPr="00B30715" w:rsidRDefault="008D0EC7" w:rsidP="00B30715">
      <w:pPr>
        <w:pStyle w:val="Corpodeltesto2"/>
        <w:ind w:firstLine="0"/>
      </w:pPr>
      <w:r w:rsidRPr="008D0EC7">
        <w:rPr>
          <w:lang w:val="en-US"/>
        </w:rPr>
        <w:t xml:space="preserve">Our findings demonstrate that </w:t>
      </w:r>
      <w:r w:rsidR="004F10E0" w:rsidRPr="004F10E0">
        <w:t>countries with carbon pricing have lower emissions of total greenhouse gases, carbon dioxide, nitrous oxide in the energy sector, and particulate matter exposure by approximately three percentage points per year on average</w:t>
      </w:r>
      <w:r w:rsidR="00732F3E">
        <w:t>.</w:t>
      </w:r>
      <w:r w:rsidR="00D56BD4">
        <w:t xml:space="preserve"> We also find that</w:t>
      </w:r>
      <w:r w:rsidR="00D56BD4" w:rsidRPr="00D56BD4">
        <w:t xml:space="preserve"> the gasoline tax and feed-in tariff </w:t>
      </w:r>
      <w:r w:rsidR="00D56BD4">
        <w:t xml:space="preserve">policies have significantly impacted </w:t>
      </w:r>
      <w:r w:rsidR="00D56BD4" w:rsidRPr="00D56BD4">
        <w:t>carbon dioxide</w:t>
      </w:r>
      <w:r w:rsidR="00D56BD4">
        <w:t xml:space="preserve"> emissions. </w:t>
      </w:r>
      <w:r w:rsidRPr="008D0EC7">
        <w:rPr>
          <w:lang w:val="en-US"/>
        </w:rPr>
        <w:t xml:space="preserve">Based upon this analysis, the </w:t>
      </w:r>
      <w:r w:rsidR="005D739B">
        <w:rPr>
          <w:lang w:val="en-US"/>
        </w:rPr>
        <w:t xml:space="preserve">implementation of carbon pricing </w:t>
      </w:r>
      <w:r w:rsidRPr="008D0EC7">
        <w:rPr>
          <w:lang w:val="en-US"/>
        </w:rPr>
        <w:t xml:space="preserve">played an important role in decreasing </w:t>
      </w:r>
      <w:proofErr w:type="spellStart"/>
      <w:r w:rsidR="005D739B">
        <w:rPr>
          <w:lang w:val="en-US"/>
        </w:rPr>
        <w:t>greenhose</w:t>
      </w:r>
      <w:proofErr w:type="spellEnd"/>
      <w:r w:rsidR="005D739B">
        <w:rPr>
          <w:lang w:val="en-US"/>
        </w:rPr>
        <w:t xml:space="preserve"> gas</w:t>
      </w:r>
      <w:r w:rsidRPr="008D0EC7">
        <w:rPr>
          <w:lang w:val="en-US"/>
        </w:rPr>
        <w:t xml:space="preserve"> emissions</w:t>
      </w:r>
      <w:r w:rsidR="005D739B">
        <w:rPr>
          <w:lang w:val="en-US"/>
        </w:rPr>
        <w:t>.</w:t>
      </w:r>
      <w:r w:rsidRPr="008D0EC7">
        <w:rPr>
          <w:lang w:val="en-US"/>
        </w:rPr>
        <w:t xml:space="preserve"> </w:t>
      </w:r>
      <w:r w:rsidR="00E618D6" w:rsidRPr="00E618D6">
        <w:rPr>
          <w:lang w:val="en-US"/>
        </w:rPr>
        <w:t xml:space="preserve">The findings also reveal that </w:t>
      </w:r>
      <w:r w:rsidR="005D739B">
        <w:rPr>
          <w:lang w:val="en-US"/>
        </w:rPr>
        <w:t>t</w:t>
      </w:r>
      <w:r w:rsidR="005D739B" w:rsidRPr="005D739B">
        <w:t xml:space="preserve">he carbon pricing </w:t>
      </w:r>
      <w:r w:rsidR="005D739B">
        <w:t xml:space="preserve">has led to a reduction in </w:t>
      </w:r>
      <w:r w:rsidR="005D739B" w:rsidRPr="005D739B">
        <w:t>both methane and nitrous oxide emissions growth from the energy sector</w:t>
      </w:r>
      <w:r w:rsidR="00B30715" w:rsidRPr="00B30715">
        <w:t xml:space="preserve">. </w:t>
      </w:r>
      <w:r w:rsidR="00A169DD" w:rsidRPr="00A169DD">
        <w:t>Our analysis contributes to debates by providing evidence of additional benefits of carbon pricing beyond the impact on carbon dioxide emissions and through providing international analysis. Our approach suggests value in detailed future analysis of each distinct impact of carbon pricing</w:t>
      </w:r>
    </w:p>
    <w:p w14:paraId="18941F89" w14:textId="2650121C" w:rsidR="00DC69F1" w:rsidRPr="00250295" w:rsidRDefault="00DC69F1" w:rsidP="00732F3E">
      <w:pPr>
        <w:pStyle w:val="Corpodeltesto2"/>
        <w:ind w:firstLine="0"/>
        <w:rPr>
          <w:b/>
          <w:i/>
        </w:rPr>
      </w:pPr>
    </w:p>
    <w:p w14:paraId="058A82F8" w14:textId="77777777" w:rsidR="00DC69F1" w:rsidRPr="00250295" w:rsidRDefault="00DC69F1" w:rsidP="00250295">
      <w:pPr>
        <w:pStyle w:val="Titolo2"/>
        <w:jc w:val="both"/>
        <w:rPr>
          <w:rFonts w:ascii="Times New Roman" w:hAnsi="Times New Roman"/>
          <w:i w:val="0"/>
          <w:sz w:val="24"/>
          <w:szCs w:val="24"/>
        </w:rPr>
      </w:pPr>
      <w:bookmarkStart w:id="6" w:name="_Hlk503194154"/>
      <w:r w:rsidRPr="00250295">
        <w:rPr>
          <w:rFonts w:ascii="Times New Roman" w:hAnsi="Times New Roman"/>
          <w:i w:val="0"/>
          <w:sz w:val="24"/>
          <w:szCs w:val="24"/>
        </w:rPr>
        <w:t>Conclusions</w:t>
      </w:r>
    </w:p>
    <w:bookmarkEnd w:id="6"/>
    <w:p w14:paraId="2DCF206A" w14:textId="0A2A407F" w:rsidR="00DC69F1" w:rsidRPr="00250295" w:rsidRDefault="005D739B" w:rsidP="00B30715">
      <w:pPr>
        <w:pStyle w:val="Corpodeltesto2"/>
        <w:ind w:firstLine="0"/>
        <w:rPr>
          <w:i/>
        </w:rPr>
      </w:pPr>
      <w:r w:rsidRPr="005D739B">
        <w:t>Our paper contributes in three main areas. Our global study contrasts with prior country-level or regional studies of the impact of carbon pricing on CO</w:t>
      </w:r>
      <w:r w:rsidRPr="005D739B">
        <w:rPr>
          <w:vertAlign w:val="subscript"/>
        </w:rPr>
        <w:t>2</w:t>
      </w:r>
      <w:r w:rsidRPr="005D739B">
        <w:t xml:space="preserve"> emissions. We present novel evidence on the impact of carbon pricing on non-CO</w:t>
      </w:r>
      <w:r w:rsidRPr="005D739B">
        <w:rPr>
          <w:vertAlign w:val="subscript"/>
        </w:rPr>
        <w:t>2</w:t>
      </w:r>
      <w:r w:rsidRPr="005D739B">
        <w:t xml:space="preserve"> emissions, in contrast to studies that focus only on CO</w:t>
      </w:r>
      <w:r w:rsidRPr="005D739B">
        <w:rPr>
          <w:vertAlign w:val="subscript"/>
        </w:rPr>
        <w:t>2</w:t>
      </w:r>
      <w:r w:rsidRPr="005D739B">
        <w:t xml:space="preserve"> emissions. The third main contribution relates to the interpretation of our results and the implications for communication on carbon pricing.</w:t>
      </w:r>
      <w:r w:rsidR="00B30715" w:rsidRPr="00B30715">
        <w:t xml:space="preserve"> Our findings showed that carbon pricing has larger point estimates of coefficients (in absolute-value terms) for the impact on CO</w:t>
      </w:r>
      <w:r w:rsidR="00B30715" w:rsidRPr="00B30715">
        <w:rPr>
          <w:vertAlign w:val="subscript"/>
        </w:rPr>
        <w:t>2</w:t>
      </w:r>
      <w:r w:rsidR="00B30715" w:rsidRPr="00B30715">
        <w:t>, rather than other pollutants. This is consistent with carbon pricing historically targeting energy sectors where CO</w:t>
      </w:r>
      <w:r w:rsidR="00B30715" w:rsidRPr="00B30715">
        <w:rPr>
          <w:vertAlign w:val="subscript"/>
        </w:rPr>
        <w:t>2</w:t>
      </w:r>
      <w:r w:rsidR="00B30715" w:rsidRPr="00B30715">
        <w:t xml:space="preserve"> emissions are pronounced, as opposed to agricultural sectors where pollutants such as methane and nitrous oxide are more important</w:t>
      </w:r>
      <w:r>
        <w:t xml:space="preserve"> </w:t>
      </w:r>
      <w:r w:rsidR="004F25D7" w:rsidRPr="00250295">
        <w:t>These findings could be crucial for policymakers to make better-informed regulatory decision</w:t>
      </w:r>
      <w:r w:rsidR="000D4B70" w:rsidRPr="00250295">
        <w:t>s</w:t>
      </w:r>
      <w:r w:rsidR="004F25D7" w:rsidRPr="00250295">
        <w:t xml:space="preserve"> when designing climate policies to reduce domestic emissions and support international efforts and</w:t>
      </w:r>
      <w:r w:rsidR="000D4B70" w:rsidRPr="00250295">
        <w:t>,</w:t>
      </w:r>
      <w:r w:rsidR="004F25D7" w:rsidRPr="00250295">
        <w:t xml:space="preserve"> more specifically</w:t>
      </w:r>
      <w:r w:rsidR="000D4B70" w:rsidRPr="00250295">
        <w:t>,</w:t>
      </w:r>
      <w:r w:rsidR="004F25D7" w:rsidRPr="00250295">
        <w:t xml:space="preserve"> </w:t>
      </w:r>
      <w:r w:rsidR="000D4B70" w:rsidRPr="00250295">
        <w:t>when considering</w:t>
      </w:r>
      <w:r w:rsidR="004F25D7" w:rsidRPr="00250295">
        <w:t xml:space="preserve"> a </w:t>
      </w:r>
      <w:r>
        <w:t>carbon pricing mechanism.</w:t>
      </w:r>
    </w:p>
    <w:p w14:paraId="7E1B3E72" w14:textId="77777777" w:rsidR="00DC69F1" w:rsidRPr="00250295" w:rsidRDefault="00DC69F1" w:rsidP="00250295">
      <w:pPr>
        <w:pStyle w:val="Titolo2"/>
        <w:rPr>
          <w:rFonts w:ascii="Times New Roman" w:hAnsi="Times New Roman"/>
          <w:i w:val="0"/>
          <w:sz w:val="24"/>
          <w:szCs w:val="24"/>
        </w:rPr>
      </w:pPr>
      <w:r w:rsidRPr="00250295">
        <w:rPr>
          <w:rFonts w:ascii="Times New Roman" w:hAnsi="Times New Roman"/>
          <w:i w:val="0"/>
          <w:sz w:val="24"/>
          <w:szCs w:val="24"/>
        </w:rPr>
        <w:t>References</w:t>
      </w:r>
    </w:p>
    <w:p w14:paraId="7637A79A" w14:textId="77777777" w:rsidR="00330D7E" w:rsidRDefault="00330D7E" w:rsidP="0058469B">
      <w:pPr>
        <w:ind w:left="720" w:hanging="720"/>
        <w:jc w:val="both"/>
      </w:pPr>
    </w:p>
    <w:p w14:paraId="40D26A22" w14:textId="1593D8F6" w:rsidR="00DC742C" w:rsidRDefault="00DC742C" w:rsidP="00DC742C">
      <w:pPr>
        <w:ind w:left="720" w:hanging="720"/>
        <w:jc w:val="both"/>
      </w:pPr>
      <w:r w:rsidRPr="00DC742C">
        <w:t xml:space="preserve">Adekoya, O.B., 2021. Predicting carbon allowance prices with energy prices: A new approach. J. Clean. Prod. 282, 124519. </w:t>
      </w:r>
      <w:hyperlink r:id="rId8" w:history="1">
        <w:r w:rsidRPr="00C61B13">
          <w:rPr>
            <w:rStyle w:val="Collegamentoipertestuale"/>
          </w:rPr>
          <w:t>https://doi.org/10.1016/j.jclepro.2020.124519</w:t>
        </w:r>
      </w:hyperlink>
    </w:p>
    <w:p w14:paraId="5D12EDE9" w14:textId="059E4B4C" w:rsidR="00DC742C" w:rsidRDefault="00DC742C" w:rsidP="00DC742C">
      <w:pPr>
        <w:ind w:left="720" w:hanging="720"/>
        <w:jc w:val="both"/>
      </w:pPr>
      <w:r w:rsidRPr="00DC742C">
        <w:t xml:space="preserve">Best, R., Zhang, Q.Y., 2020. What explains carbon-pricing variation between countries? Energy Policy 143, 111541. </w:t>
      </w:r>
      <w:hyperlink r:id="rId9" w:history="1">
        <w:r w:rsidRPr="00C61B13">
          <w:rPr>
            <w:rStyle w:val="Collegamentoipertestuale"/>
          </w:rPr>
          <w:t>https://doi.org/10.1016/j.enpol.2020.111541</w:t>
        </w:r>
      </w:hyperlink>
    </w:p>
    <w:p w14:paraId="6B01E6DB" w14:textId="5B667F54" w:rsidR="00DC742C" w:rsidRDefault="00DC742C" w:rsidP="00DC742C">
      <w:pPr>
        <w:ind w:left="720" w:hanging="720"/>
        <w:jc w:val="both"/>
      </w:pPr>
      <w:proofErr w:type="spellStart"/>
      <w:r w:rsidRPr="00DC742C">
        <w:t>Carattini</w:t>
      </w:r>
      <w:proofErr w:type="spellEnd"/>
      <w:r w:rsidRPr="00DC742C">
        <w:t xml:space="preserve">, S., Carvalho, M., Fankhauser, S., 2018. Overcoming public resistance to carbon taxes. Wiley </w:t>
      </w:r>
      <w:proofErr w:type="spellStart"/>
      <w:r w:rsidRPr="00DC742C">
        <w:t>Interdiscip</w:t>
      </w:r>
      <w:proofErr w:type="spellEnd"/>
      <w:r w:rsidRPr="00DC742C">
        <w:t xml:space="preserve">. Rev. </w:t>
      </w:r>
      <w:proofErr w:type="spellStart"/>
      <w:r w:rsidRPr="00DC742C">
        <w:t>Clim</w:t>
      </w:r>
      <w:proofErr w:type="spellEnd"/>
      <w:r w:rsidRPr="00DC742C">
        <w:t xml:space="preserve">. Chang. 9, 1–26. </w:t>
      </w:r>
      <w:hyperlink r:id="rId10" w:history="1">
        <w:r w:rsidRPr="00C61B13">
          <w:rPr>
            <w:rStyle w:val="Collegamentoipertestuale"/>
          </w:rPr>
          <w:t>https://doi.org/10.1002/wcc.531</w:t>
        </w:r>
      </w:hyperlink>
    </w:p>
    <w:p w14:paraId="1C16CB9F" w14:textId="4C8A9692" w:rsidR="00DC742C" w:rsidRDefault="00DC742C" w:rsidP="00DC742C">
      <w:pPr>
        <w:ind w:left="720" w:hanging="720"/>
        <w:jc w:val="both"/>
      </w:pPr>
      <w:r w:rsidRPr="00DC742C">
        <w:t xml:space="preserve">Green, J.F., 2021. Does carbon pricing reduce emissions? A review of ex-post analyses. Environ. Res. Lett. </w:t>
      </w:r>
      <w:hyperlink r:id="rId11" w:history="1">
        <w:r w:rsidRPr="00C61B13">
          <w:rPr>
            <w:rStyle w:val="Collegamentoipertestuale"/>
          </w:rPr>
          <w:t>https://doi.org/10.1088/1748-9326/abdae9</w:t>
        </w:r>
      </w:hyperlink>
    </w:p>
    <w:p w14:paraId="7493A346" w14:textId="77777777" w:rsidR="00DC742C" w:rsidRPr="00DC742C" w:rsidRDefault="00DC742C" w:rsidP="00DC742C">
      <w:pPr>
        <w:ind w:left="720" w:hanging="720"/>
        <w:jc w:val="both"/>
      </w:pPr>
      <w:r w:rsidRPr="00DC742C">
        <w:t>IEA, 2021a. IEA CO2 Emissions from Fuel Combustion Statistics [WWW Document]. Int. Energy Agency.</w:t>
      </w:r>
    </w:p>
    <w:p w14:paraId="2236116C" w14:textId="195801EC" w:rsidR="00DC742C" w:rsidRDefault="00DC742C" w:rsidP="00DC742C">
      <w:pPr>
        <w:ind w:left="720" w:hanging="720"/>
        <w:jc w:val="both"/>
      </w:pPr>
      <w:r w:rsidRPr="00DC742C">
        <w:t xml:space="preserve">Ji, C.J., Hu, Y.J., Tang, B.J., Qu, S., 2021. Price drivers in the carbon emissions trading scheme: Evidence from Chinese emissions trading scheme pilots. J. Clean. Prod. 278, 123469. </w:t>
      </w:r>
      <w:hyperlink r:id="rId12" w:history="1">
        <w:r w:rsidRPr="00C61B13">
          <w:rPr>
            <w:rStyle w:val="Collegamentoipertestuale"/>
          </w:rPr>
          <w:t>https://doi.org/10.1016/j.jclepro.2020.123469</w:t>
        </w:r>
      </w:hyperlink>
    </w:p>
    <w:p w14:paraId="3D5C8E7A" w14:textId="77777777" w:rsidR="00CA045A" w:rsidRPr="00CA045A" w:rsidRDefault="00CA045A" w:rsidP="00CA045A">
      <w:pPr>
        <w:ind w:left="720" w:hanging="720"/>
        <w:jc w:val="both"/>
      </w:pPr>
      <w:r w:rsidRPr="00CA045A">
        <w:t>Kaya, Y., 1989. Impact of Carbon Dioxide Emission Control on GNP Growth: Interpretation of Proposed Scenarios.</w:t>
      </w:r>
    </w:p>
    <w:p w14:paraId="3ECCDB14" w14:textId="23638100" w:rsidR="00DC742C" w:rsidRDefault="00DC742C" w:rsidP="00DC742C">
      <w:pPr>
        <w:ind w:left="720" w:hanging="720"/>
        <w:jc w:val="both"/>
      </w:pPr>
      <w:r w:rsidRPr="00DC742C">
        <w:t xml:space="preserve">Levi, S., </w:t>
      </w:r>
      <w:proofErr w:type="spellStart"/>
      <w:r w:rsidRPr="00DC742C">
        <w:t>Flachsland</w:t>
      </w:r>
      <w:proofErr w:type="spellEnd"/>
      <w:r w:rsidRPr="00DC742C">
        <w:t xml:space="preserve">, C., Jakob, M., 2020. Political economy determinants of carbon pricing. Glob. Environ. Polit. 20, 128–156. </w:t>
      </w:r>
      <w:hyperlink r:id="rId13" w:history="1">
        <w:r w:rsidRPr="00C61B13">
          <w:rPr>
            <w:rStyle w:val="Collegamentoipertestuale"/>
          </w:rPr>
          <w:t>https://doi.org/10.1162/glep_a_00549</w:t>
        </w:r>
      </w:hyperlink>
    </w:p>
    <w:p w14:paraId="4FD6880D" w14:textId="77777777" w:rsidR="00CA045A" w:rsidRPr="00CA045A" w:rsidRDefault="00CA045A" w:rsidP="00CA045A">
      <w:pPr>
        <w:ind w:left="720" w:hanging="720"/>
        <w:jc w:val="both"/>
      </w:pPr>
      <w:r w:rsidRPr="00CA045A">
        <w:t xml:space="preserve">Nazifi, F., </w:t>
      </w:r>
      <w:proofErr w:type="spellStart"/>
      <w:r w:rsidRPr="00CA045A">
        <w:t>Trück</w:t>
      </w:r>
      <w:proofErr w:type="spellEnd"/>
      <w:r w:rsidRPr="00CA045A">
        <w:t>, S., Zhu, L., 2021. Carbon pass-through rates on spot electricity prices in Australia. Energy Econ. 96. https://doi.org/10.1016/j.eneco.2021.105178</w:t>
      </w:r>
    </w:p>
    <w:p w14:paraId="0D7F5D5A" w14:textId="5624B00D" w:rsidR="00CA045A" w:rsidRDefault="00CA045A" w:rsidP="00CA045A">
      <w:pPr>
        <w:ind w:left="720" w:hanging="720"/>
        <w:jc w:val="both"/>
      </w:pPr>
      <w:r w:rsidRPr="00CA045A">
        <w:t xml:space="preserve">Sun, W., Huang, C., 2020. A carbon price prediction model based on secondary decomposition algorithm and optimized back propagation neural network. J. Clean. Prod. 243, 118671. </w:t>
      </w:r>
      <w:hyperlink r:id="rId14" w:history="1">
        <w:r w:rsidRPr="00C61B13">
          <w:rPr>
            <w:rStyle w:val="Collegamentoipertestuale"/>
          </w:rPr>
          <w:t>https://doi.org/10.1016/j.jclepro.2019.118671</w:t>
        </w:r>
      </w:hyperlink>
    </w:p>
    <w:p w14:paraId="4679007D" w14:textId="5A0C0825" w:rsidR="00CA045A" w:rsidRDefault="00CA045A" w:rsidP="00CA045A">
      <w:pPr>
        <w:ind w:left="720" w:hanging="720"/>
        <w:jc w:val="both"/>
      </w:pPr>
      <w:r w:rsidRPr="00CA045A">
        <w:t xml:space="preserve">World Bank, 2021a. Carbon Pricing Dashboard [WWW Document]. URL </w:t>
      </w:r>
      <w:hyperlink r:id="rId15" w:history="1">
        <w:r w:rsidRPr="00C61B13">
          <w:rPr>
            <w:rStyle w:val="Collegamentoipertestuale"/>
          </w:rPr>
          <w:t>https://carbonpricingdashboard.worldbank.org/what-carbon-pricing</w:t>
        </w:r>
      </w:hyperlink>
    </w:p>
    <w:p w14:paraId="5D814A27" w14:textId="77777777" w:rsidR="00CA045A" w:rsidRPr="00CA045A" w:rsidRDefault="00CA045A" w:rsidP="00CA045A">
      <w:pPr>
        <w:ind w:left="720" w:hanging="720"/>
        <w:jc w:val="both"/>
      </w:pPr>
    </w:p>
    <w:p w14:paraId="3633558A" w14:textId="77777777" w:rsidR="00DC742C" w:rsidRPr="00DC742C" w:rsidRDefault="00DC742C" w:rsidP="00DC742C">
      <w:pPr>
        <w:ind w:left="720" w:hanging="720"/>
        <w:jc w:val="both"/>
      </w:pPr>
    </w:p>
    <w:p w14:paraId="16D597F1" w14:textId="77777777" w:rsidR="00DC742C" w:rsidRPr="00DC742C" w:rsidRDefault="00DC742C" w:rsidP="00DC742C">
      <w:pPr>
        <w:ind w:left="720" w:hanging="720"/>
        <w:jc w:val="both"/>
      </w:pPr>
    </w:p>
    <w:p w14:paraId="5A80FB92" w14:textId="77777777" w:rsidR="00DC742C" w:rsidRPr="00DC742C" w:rsidRDefault="00DC742C" w:rsidP="00DC742C">
      <w:pPr>
        <w:ind w:left="720" w:hanging="720"/>
        <w:jc w:val="both"/>
      </w:pPr>
    </w:p>
    <w:p w14:paraId="7DC55B3A" w14:textId="77777777" w:rsidR="00DC742C" w:rsidRPr="00DC742C" w:rsidRDefault="00DC742C" w:rsidP="00DC742C">
      <w:pPr>
        <w:ind w:left="720" w:hanging="720"/>
        <w:jc w:val="both"/>
      </w:pPr>
    </w:p>
    <w:p w14:paraId="0469820B" w14:textId="77777777" w:rsidR="00DC742C" w:rsidRPr="00DC742C" w:rsidRDefault="00DC742C" w:rsidP="00DC742C">
      <w:pPr>
        <w:ind w:left="720" w:hanging="720"/>
        <w:jc w:val="both"/>
      </w:pPr>
    </w:p>
    <w:sectPr w:rsidR="00DC742C" w:rsidRPr="00DC742C" w:rsidSect="00FC73E0">
      <w:headerReference w:type="first" r:id="rId16"/>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0EBA4" w14:textId="77777777" w:rsidR="00BC051A" w:rsidRDefault="00BC051A">
      <w:r>
        <w:separator/>
      </w:r>
    </w:p>
  </w:endnote>
  <w:endnote w:type="continuationSeparator" w:id="0">
    <w:p w14:paraId="0BACCD1B" w14:textId="77777777" w:rsidR="00BC051A" w:rsidRDefault="00BC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7F70A" w14:textId="77777777" w:rsidR="00BC051A" w:rsidRDefault="00BC051A">
      <w:r>
        <w:separator/>
      </w:r>
    </w:p>
  </w:footnote>
  <w:footnote w:type="continuationSeparator" w:id="0">
    <w:p w14:paraId="20A777F2" w14:textId="77777777" w:rsidR="00BC051A" w:rsidRDefault="00BC0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7D3DF" w14:textId="77777777" w:rsidR="005A5112" w:rsidRDefault="005A5112" w:rsidP="00DC69F1">
    <w:pPr>
      <w:pStyle w:val="Intestazion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D0D8A426">
      <w:start w:val="1"/>
      <w:numFmt w:val="bullet"/>
      <w:lvlText w:val=""/>
      <w:lvlJc w:val="left"/>
      <w:pPr>
        <w:tabs>
          <w:tab w:val="num" w:pos="720"/>
        </w:tabs>
        <w:ind w:left="720" w:hanging="360"/>
      </w:pPr>
      <w:rPr>
        <w:rFonts w:ascii="Symbol" w:hAnsi="Symbol" w:hint="default"/>
      </w:rPr>
    </w:lvl>
    <w:lvl w:ilvl="1" w:tplc="F42CFA8C">
      <w:start w:val="1"/>
      <w:numFmt w:val="bullet"/>
      <w:lvlText w:val="o"/>
      <w:lvlJc w:val="left"/>
      <w:pPr>
        <w:tabs>
          <w:tab w:val="num" w:pos="1440"/>
        </w:tabs>
        <w:ind w:left="1440" w:hanging="360"/>
      </w:pPr>
      <w:rPr>
        <w:rFonts w:ascii="Courier New" w:hAnsi="Courier New" w:hint="default"/>
      </w:rPr>
    </w:lvl>
    <w:lvl w:ilvl="2" w:tplc="552276C6" w:tentative="1">
      <w:start w:val="1"/>
      <w:numFmt w:val="bullet"/>
      <w:lvlText w:val=""/>
      <w:lvlJc w:val="left"/>
      <w:pPr>
        <w:tabs>
          <w:tab w:val="num" w:pos="2160"/>
        </w:tabs>
        <w:ind w:left="2160" w:hanging="360"/>
      </w:pPr>
      <w:rPr>
        <w:rFonts w:ascii="Wingdings" w:hAnsi="Wingdings" w:hint="default"/>
      </w:rPr>
    </w:lvl>
    <w:lvl w:ilvl="3" w:tplc="0BFAE8C4" w:tentative="1">
      <w:start w:val="1"/>
      <w:numFmt w:val="bullet"/>
      <w:lvlText w:val=""/>
      <w:lvlJc w:val="left"/>
      <w:pPr>
        <w:tabs>
          <w:tab w:val="num" w:pos="2880"/>
        </w:tabs>
        <w:ind w:left="2880" w:hanging="360"/>
      </w:pPr>
      <w:rPr>
        <w:rFonts w:ascii="Symbol" w:hAnsi="Symbol" w:hint="default"/>
      </w:rPr>
    </w:lvl>
    <w:lvl w:ilvl="4" w:tplc="279C1936" w:tentative="1">
      <w:start w:val="1"/>
      <w:numFmt w:val="bullet"/>
      <w:lvlText w:val="o"/>
      <w:lvlJc w:val="left"/>
      <w:pPr>
        <w:tabs>
          <w:tab w:val="num" w:pos="3600"/>
        </w:tabs>
        <w:ind w:left="3600" w:hanging="360"/>
      </w:pPr>
      <w:rPr>
        <w:rFonts w:ascii="Courier New" w:hAnsi="Courier New" w:hint="default"/>
      </w:rPr>
    </w:lvl>
    <w:lvl w:ilvl="5" w:tplc="8F2AD60C" w:tentative="1">
      <w:start w:val="1"/>
      <w:numFmt w:val="bullet"/>
      <w:lvlText w:val=""/>
      <w:lvlJc w:val="left"/>
      <w:pPr>
        <w:tabs>
          <w:tab w:val="num" w:pos="4320"/>
        </w:tabs>
        <w:ind w:left="4320" w:hanging="360"/>
      </w:pPr>
      <w:rPr>
        <w:rFonts w:ascii="Wingdings" w:hAnsi="Wingdings" w:hint="default"/>
      </w:rPr>
    </w:lvl>
    <w:lvl w:ilvl="6" w:tplc="01E60E22" w:tentative="1">
      <w:start w:val="1"/>
      <w:numFmt w:val="bullet"/>
      <w:lvlText w:val=""/>
      <w:lvlJc w:val="left"/>
      <w:pPr>
        <w:tabs>
          <w:tab w:val="num" w:pos="5040"/>
        </w:tabs>
        <w:ind w:left="5040" w:hanging="360"/>
      </w:pPr>
      <w:rPr>
        <w:rFonts w:ascii="Symbol" w:hAnsi="Symbol" w:hint="default"/>
      </w:rPr>
    </w:lvl>
    <w:lvl w:ilvl="7" w:tplc="AF14312C" w:tentative="1">
      <w:start w:val="1"/>
      <w:numFmt w:val="bullet"/>
      <w:lvlText w:val="o"/>
      <w:lvlJc w:val="left"/>
      <w:pPr>
        <w:tabs>
          <w:tab w:val="num" w:pos="5760"/>
        </w:tabs>
        <w:ind w:left="5760" w:hanging="360"/>
      </w:pPr>
      <w:rPr>
        <w:rFonts w:ascii="Courier New" w:hAnsi="Courier New" w:hint="default"/>
      </w:rPr>
    </w:lvl>
    <w:lvl w:ilvl="8" w:tplc="D226B50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D0E09ADA">
      <w:start w:val="1"/>
      <w:numFmt w:val="lowerRoman"/>
      <w:lvlText w:val="%1.)"/>
      <w:lvlJc w:val="left"/>
      <w:pPr>
        <w:tabs>
          <w:tab w:val="num" w:pos="540"/>
        </w:tabs>
        <w:ind w:left="255" w:hanging="435"/>
      </w:pPr>
      <w:rPr>
        <w:rFonts w:hint="default"/>
      </w:rPr>
    </w:lvl>
    <w:lvl w:ilvl="1" w:tplc="3CBC5552" w:tentative="1">
      <w:start w:val="1"/>
      <w:numFmt w:val="lowerLetter"/>
      <w:lvlText w:val="%2."/>
      <w:lvlJc w:val="left"/>
      <w:pPr>
        <w:tabs>
          <w:tab w:val="num" w:pos="1260"/>
        </w:tabs>
        <w:ind w:left="1260" w:hanging="360"/>
      </w:pPr>
    </w:lvl>
    <w:lvl w:ilvl="2" w:tplc="8D58D516" w:tentative="1">
      <w:start w:val="1"/>
      <w:numFmt w:val="lowerRoman"/>
      <w:lvlText w:val="%3."/>
      <w:lvlJc w:val="right"/>
      <w:pPr>
        <w:tabs>
          <w:tab w:val="num" w:pos="1980"/>
        </w:tabs>
        <w:ind w:left="1980" w:hanging="180"/>
      </w:pPr>
    </w:lvl>
    <w:lvl w:ilvl="3" w:tplc="38325298" w:tentative="1">
      <w:start w:val="1"/>
      <w:numFmt w:val="decimal"/>
      <w:lvlText w:val="%4."/>
      <w:lvlJc w:val="left"/>
      <w:pPr>
        <w:tabs>
          <w:tab w:val="num" w:pos="2700"/>
        </w:tabs>
        <w:ind w:left="2700" w:hanging="360"/>
      </w:pPr>
    </w:lvl>
    <w:lvl w:ilvl="4" w:tplc="1EAE67E8" w:tentative="1">
      <w:start w:val="1"/>
      <w:numFmt w:val="lowerLetter"/>
      <w:lvlText w:val="%5."/>
      <w:lvlJc w:val="left"/>
      <w:pPr>
        <w:tabs>
          <w:tab w:val="num" w:pos="3420"/>
        </w:tabs>
        <w:ind w:left="3420" w:hanging="360"/>
      </w:pPr>
    </w:lvl>
    <w:lvl w:ilvl="5" w:tplc="CFA2187C" w:tentative="1">
      <w:start w:val="1"/>
      <w:numFmt w:val="lowerRoman"/>
      <w:lvlText w:val="%6."/>
      <w:lvlJc w:val="right"/>
      <w:pPr>
        <w:tabs>
          <w:tab w:val="num" w:pos="4140"/>
        </w:tabs>
        <w:ind w:left="4140" w:hanging="180"/>
      </w:pPr>
    </w:lvl>
    <w:lvl w:ilvl="6" w:tplc="B12EA21C" w:tentative="1">
      <w:start w:val="1"/>
      <w:numFmt w:val="decimal"/>
      <w:lvlText w:val="%7."/>
      <w:lvlJc w:val="left"/>
      <w:pPr>
        <w:tabs>
          <w:tab w:val="num" w:pos="4860"/>
        </w:tabs>
        <w:ind w:left="4860" w:hanging="360"/>
      </w:pPr>
    </w:lvl>
    <w:lvl w:ilvl="7" w:tplc="AAC03B52" w:tentative="1">
      <w:start w:val="1"/>
      <w:numFmt w:val="lowerLetter"/>
      <w:lvlText w:val="%8."/>
      <w:lvlJc w:val="left"/>
      <w:pPr>
        <w:tabs>
          <w:tab w:val="num" w:pos="5580"/>
        </w:tabs>
        <w:ind w:left="5580" w:hanging="360"/>
      </w:pPr>
    </w:lvl>
    <w:lvl w:ilvl="8" w:tplc="0FE07E72"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8EBA1F98">
      <w:start w:val="1"/>
      <w:numFmt w:val="bullet"/>
      <w:lvlText w:val=""/>
      <w:lvlJc w:val="left"/>
      <w:pPr>
        <w:tabs>
          <w:tab w:val="num" w:pos="720"/>
        </w:tabs>
        <w:ind w:left="720" w:hanging="360"/>
      </w:pPr>
      <w:rPr>
        <w:rFonts w:ascii="Symbol" w:hAnsi="Symbol" w:hint="default"/>
      </w:rPr>
    </w:lvl>
    <w:lvl w:ilvl="1" w:tplc="53F65582" w:tentative="1">
      <w:start w:val="1"/>
      <w:numFmt w:val="bullet"/>
      <w:lvlText w:val="o"/>
      <w:lvlJc w:val="left"/>
      <w:pPr>
        <w:tabs>
          <w:tab w:val="num" w:pos="1440"/>
        </w:tabs>
        <w:ind w:left="1440" w:hanging="360"/>
      </w:pPr>
      <w:rPr>
        <w:rFonts w:ascii="Courier New" w:hAnsi="Courier New" w:hint="default"/>
      </w:rPr>
    </w:lvl>
    <w:lvl w:ilvl="2" w:tplc="DD4C5648" w:tentative="1">
      <w:start w:val="1"/>
      <w:numFmt w:val="bullet"/>
      <w:lvlText w:val=""/>
      <w:lvlJc w:val="left"/>
      <w:pPr>
        <w:tabs>
          <w:tab w:val="num" w:pos="2160"/>
        </w:tabs>
        <w:ind w:left="2160" w:hanging="360"/>
      </w:pPr>
      <w:rPr>
        <w:rFonts w:ascii="Wingdings" w:hAnsi="Wingdings" w:hint="default"/>
      </w:rPr>
    </w:lvl>
    <w:lvl w:ilvl="3" w:tplc="9D263090" w:tentative="1">
      <w:start w:val="1"/>
      <w:numFmt w:val="bullet"/>
      <w:lvlText w:val=""/>
      <w:lvlJc w:val="left"/>
      <w:pPr>
        <w:tabs>
          <w:tab w:val="num" w:pos="2880"/>
        </w:tabs>
        <w:ind w:left="2880" w:hanging="360"/>
      </w:pPr>
      <w:rPr>
        <w:rFonts w:ascii="Symbol" w:hAnsi="Symbol" w:hint="default"/>
      </w:rPr>
    </w:lvl>
    <w:lvl w:ilvl="4" w:tplc="73504A90" w:tentative="1">
      <w:start w:val="1"/>
      <w:numFmt w:val="bullet"/>
      <w:lvlText w:val="o"/>
      <w:lvlJc w:val="left"/>
      <w:pPr>
        <w:tabs>
          <w:tab w:val="num" w:pos="3600"/>
        </w:tabs>
        <w:ind w:left="3600" w:hanging="360"/>
      </w:pPr>
      <w:rPr>
        <w:rFonts w:ascii="Courier New" w:hAnsi="Courier New" w:hint="default"/>
      </w:rPr>
    </w:lvl>
    <w:lvl w:ilvl="5" w:tplc="DCC4DC00" w:tentative="1">
      <w:start w:val="1"/>
      <w:numFmt w:val="bullet"/>
      <w:lvlText w:val=""/>
      <w:lvlJc w:val="left"/>
      <w:pPr>
        <w:tabs>
          <w:tab w:val="num" w:pos="4320"/>
        </w:tabs>
        <w:ind w:left="4320" w:hanging="360"/>
      </w:pPr>
      <w:rPr>
        <w:rFonts w:ascii="Wingdings" w:hAnsi="Wingdings" w:hint="default"/>
      </w:rPr>
    </w:lvl>
    <w:lvl w:ilvl="6" w:tplc="8C8C4796" w:tentative="1">
      <w:start w:val="1"/>
      <w:numFmt w:val="bullet"/>
      <w:lvlText w:val=""/>
      <w:lvlJc w:val="left"/>
      <w:pPr>
        <w:tabs>
          <w:tab w:val="num" w:pos="5040"/>
        </w:tabs>
        <w:ind w:left="5040" w:hanging="360"/>
      </w:pPr>
      <w:rPr>
        <w:rFonts w:ascii="Symbol" w:hAnsi="Symbol" w:hint="default"/>
      </w:rPr>
    </w:lvl>
    <w:lvl w:ilvl="7" w:tplc="D09A19DA" w:tentative="1">
      <w:start w:val="1"/>
      <w:numFmt w:val="bullet"/>
      <w:lvlText w:val="o"/>
      <w:lvlJc w:val="left"/>
      <w:pPr>
        <w:tabs>
          <w:tab w:val="num" w:pos="5760"/>
        </w:tabs>
        <w:ind w:left="5760" w:hanging="360"/>
      </w:pPr>
      <w:rPr>
        <w:rFonts w:ascii="Courier New" w:hAnsi="Courier New" w:hint="default"/>
      </w:rPr>
    </w:lvl>
    <w:lvl w:ilvl="8" w:tplc="09487D6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53FE880C">
      <w:start w:val="1"/>
      <w:numFmt w:val="lowerRoman"/>
      <w:lvlText w:val="%1.)"/>
      <w:lvlJc w:val="left"/>
      <w:pPr>
        <w:tabs>
          <w:tab w:val="num" w:pos="720"/>
        </w:tabs>
        <w:ind w:left="435" w:hanging="435"/>
      </w:pPr>
      <w:rPr>
        <w:rFonts w:hint="default"/>
      </w:rPr>
    </w:lvl>
    <w:lvl w:ilvl="1" w:tplc="A4827F8E">
      <w:start w:val="8"/>
      <w:numFmt w:val="decimal"/>
      <w:lvlText w:val="%2."/>
      <w:lvlJc w:val="left"/>
      <w:pPr>
        <w:tabs>
          <w:tab w:val="num" w:pos="1080"/>
        </w:tabs>
        <w:ind w:left="1080" w:hanging="360"/>
      </w:pPr>
      <w:rPr>
        <w:rFonts w:hint="default"/>
      </w:rPr>
    </w:lvl>
    <w:lvl w:ilvl="2" w:tplc="DCBCA812" w:tentative="1">
      <w:start w:val="1"/>
      <w:numFmt w:val="lowerRoman"/>
      <w:lvlText w:val="%3."/>
      <w:lvlJc w:val="right"/>
      <w:pPr>
        <w:tabs>
          <w:tab w:val="num" w:pos="1800"/>
        </w:tabs>
        <w:ind w:left="1800" w:hanging="180"/>
      </w:pPr>
    </w:lvl>
    <w:lvl w:ilvl="3" w:tplc="3B1AAE20" w:tentative="1">
      <w:start w:val="1"/>
      <w:numFmt w:val="decimal"/>
      <w:lvlText w:val="%4."/>
      <w:lvlJc w:val="left"/>
      <w:pPr>
        <w:tabs>
          <w:tab w:val="num" w:pos="2520"/>
        </w:tabs>
        <w:ind w:left="2520" w:hanging="360"/>
      </w:pPr>
    </w:lvl>
    <w:lvl w:ilvl="4" w:tplc="9F60937A" w:tentative="1">
      <w:start w:val="1"/>
      <w:numFmt w:val="lowerLetter"/>
      <w:lvlText w:val="%5."/>
      <w:lvlJc w:val="left"/>
      <w:pPr>
        <w:tabs>
          <w:tab w:val="num" w:pos="3240"/>
        </w:tabs>
        <w:ind w:left="3240" w:hanging="360"/>
      </w:pPr>
    </w:lvl>
    <w:lvl w:ilvl="5" w:tplc="4BCA17A4" w:tentative="1">
      <w:start w:val="1"/>
      <w:numFmt w:val="lowerRoman"/>
      <w:lvlText w:val="%6."/>
      <w:lvlJc w:val="right"/>
      <w:pPr>
        <w:tabs>
          <w:tab w:val="num" w:pos="3960"/>
        </w:tabs>
        <w:ind w:left="3960" w:hanging="180"/>
      </w:pPr>
    </w:lvl>
    <w:lvl w:ilvl="6" w:tplc="3BBE40B6" w:tentative="1">
      <w:start w:val="1"/>
      <w:numFmt w:val="decimal"/>
      <w:lvlText w:val="%7."/>
      <w:lvlJc w:val="left"/>
      <w:pPr>
        <w:tabs>
          <w:tab w:val="num" w:pos="4680"/>
        </w:tabs>
        <w:ind w:left="4680" w:hanging="360"/>
      </w:pPr>
    </w:lvl>
    <w:lvl w:ilvl="7" w:tplc="04D6FECE" w:tentative="1">
      <w:start w:val="1"/>
      <w:numFmt w:val="lowerLetter"/>
      <w:lvlText w:val="%8."/>
      <w:lvlJc w:val="left"/>
      <w:pPr>
        <w:tabs>
          <w:tab w:val="num" w:pos="5400"/>
        </w:tabs>
        <w:ind w:left="5400" w:hanging="360"/>
      </w:pPr>
    </w:lvl>
    <w:lvl w:ilvl="8" w:tplc="F2D44A02"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99E6ADEE">
      <w:start w:val="1"/>
      <w:numFmt w:val="lowerLetter"/>
      <w:lvlText w:val="%1)"/>
      <w:lvlJc w:val="left"/>
      <w:pPr>
        <w:tabs>
          <w:tab w:val="num" w:pos="720"/>
        </w:tabs>
        <w:ind w:left="720" w:hanging="360"/>
      </w:pPr>
    </w:lvl>
    <w:lvl w:ilvl="1" w:tplc="2A648C0E" w:tentative="1">
      <w:start w:val="1"/>
      <w:numFmt w:val="lowerLetter"/>
      <w:lvlText w:val="%2."/>
      <w:lvlJc w:val="left"/>
      <w:pPr>
        <w:tabs>
          <w:tab w:val="num" w:pos="1440"/>
        </w:tabs>
        <w:ind w:left="1440" w:hanging="360"/>
      </w:pPr>
    </w:lvl>
    <w:lvl w:ilvl="2" w:tplc="8B9E9508" w:tentative="1">
      <w:start w:val="1"/>
      <w:numFmt w:val="lowerRoman"/>
      <w:lvlText w:val="%3."/>
      <w:lvlJc w:val="right"/>
      <w:pPr>
        <w:tabs>
          <w:tab w:val="num" w:pos="2160"/>
        </w:tabs>
        <w:ind w:left="2160" w:hanging="180"/>
      </w:pPr>
    </w:lvl>
    <w:lvl w:ilvl="3" w:tplc="EB1E65BE" w:tentative="1">
      <w:start w:val="1"/>
      <w:numFmt w:val="decimal"/>
      <w:lvlText w:val="%4."/>
      <w:lvlJc w:val="left"/>
      <w:pPr>
        <w:tabs>
          <w:tab w:val="num" w:pos="2880"/>
        </w:tabs>
        <w:ind w:left="2880" w:hanging="360"/>
      </w:pPr>
    </w:lvl>
    <w:lvl w:ilvl="4" w:tplc="B88208C4" w:tentative="1">
      <w:start w:val="1"/>
      <w:numFmt w:val="lowerLetter"/>
      <w:lvlText w:val="%5."/>
      <w:lvlJc w:val="left"/>
      <w:pPr>
        <w:tabs>
          <w:tab w:val="num" w:pos="3600"/>
        </w:tabs>
        <w:ind w:left="3600" w:hanging="360"/>
      </w:pPr>
    </w:lvl>
    <w:lvl w:ilvl="5" w:tplc="A858AE0C" w:tentative="1">
      <w:start w:val="1"/>
      <w:numFmt w:val="lowerRoman"/>
      <w:lvlText w:val="%6."/>
      <w:lvlJc w:val="right"/>
      <w:pPr>
        <w:tabs>
          <w:tab w:val="num" w:pos="4320"/>
        </w:tabs>
        <w:ind w:left="4320" w:hanging="180"/>
      </w:pPr>
    </w:lvl>
    <w:lvl w:ilvl="6" w:tplc="A50A0FCE" w:tentative="1">
      <w:start w:val="1"/>
      <w:numFmt w:val="decimal"/>
      <w:lvlText w:val="%7."/>
      <w:lvlJc w:val="left"/>
      <w:pPr>
        <w:tabs>
          <w:tab w:val="num" w:pos="5040"/>
        </w:tabs>
        <w:ind w:left="5040" w:hanging="360"/>
      </w:pPr>
    </w:lvl>
    <w:lvl w:ilvl="7" w:tplc="CA64FA9A" w:tentative="1">
      <w:start w:val="1"/>
      <w:numFmt w:val="lowerLetter"/>
      <w:lvlText w:val="%8."/>
      <w:lvlJc w:val="left"/>
      <w:pPr>
        <w:tabs>
          <w:tab w:val="num" w:pos="5760"/>
        </w:tabs>
        <w:ind w:left="5760" w:hanging="360"/>
      </w:pPr>
    </w:lvl>
    <w:lvl w:ilvl="8" w:tplc="7BCEFEC4"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9F806A36">
      <w:start w:val="1"/>
      <w:numFmt w:val="lowerRoman"/>
      <w:lvlText w:val="%1.)"/>
      <w:lvlJc w:val="left"/>
      <w:pPr>
        <w:tabs>
          <w:tab w:val="num" w:pos="720"/>
        </w:tabs>
        <w:ind w:left="435" w:hanging="435"/>
      </w:pPr>
      <w:rPr>
        <w:rFonts w:hint="default"/>
      </w:rPr>
    </w:lvl>
    <w:lvl w:ilvl="1" w:tplc="310CE956" w:tentative="1">
      <w:start w:val="1"/>
      <w:numFmt w:val="lowerLetter"/>
      <w:lvlText w:val="%2."/>
      <w:lvlJc w:val="left"/>
      <w:pPr>
        <w:tabs>
          <w:tab w:val="num" w:pos="1440"/>
        </w:tabs>
        <w:ind w:left="1440" w:hanging="360"/>
      </w:pPr>
    </w:lvl>
    <w:lvl w:ilvl="2" w:tplc="07B06B2E" w:tentative="1">
      <w:start w:val="1"/>
      <w:numFmt w:val="lowerRoman"/>
      <w:lvlText w:val="%3."/>
      <w:lvlJc w:val="right"/>
      <w:pPr>
        <w:tabs>
          <w:tab w:val="num" w:pos="2160"/>
        </w:tabs>
        <w:ind w:left="2160" w:hanging="180"/>
      </w:pPr>
    </w:lvl>
    <w:lvl w:ilvl="3" w:tplc="1A8A6420" w:tentative="1">
      <w:start w:val="1"/>
      <w:numFmt w:val="decimal"/>
      <w:lvlText w:val="%4."/>
      <w:lvlJc w:val="left"/>
      <w:pPr>
        <w:tabs>
          <w:tab w:val="num" w:pos="2880"/>
        </w:tabs>
        <w:ind w:left="2880" w:hanging="360"/>
      </w:pPr>
    </w:lvl>
    <w:lvl w:ilvl="4" w:tplc="8DCC638A" w:tentative="1">
      <w:start w:val="1"/>
      <w:numFmt w:val="lowerLetter"/>
      <w:lvlText w:val="%5."/>
      <w:lvlJc w:val="left"/>
      <w:pPr>
        <w:tabs>
          <w:tab w:val="num" w:pos="3600"/>
        </w:tabs>
        <w:ind w:left="3600" w:hanging="360"/>
      </w:pPr>
    </w:lvl>
    <w:lvl w:ilvl="5" w:tplc="3F8AEC00" w:tentative="1">
      <w:start w:val="1"/>
      <w:numFmt w:val="lowerRoman"/>
      <w:lvlText w:val="%6."/>
      <w:lvlJc w:val="right"/>
      <w:pPr>
        <w:tabs>
          <w:tab w:val="num" w:pos="4320"/>
        </w:tabs>
        <w:ind w:left="4320" w:hanging="180"/>
      </w:pPr>
    </w:lvl>
    <w:lvl w:ilvl="6" w:tplc="808C073A" w:tentative="1">
      <w:start w:val="1"/>
      <w:numFmt w:val="decimal"/>
      <w:lvlText w:val="%7."/>
      <w:lvlJc w:val="left"/>
      <w:pPr>
        <w:tabs>
          <w:tab w:val="num" w:pos="5040"/>
        </w:tabs>
        <w:ind w:left="5040" w:hanging="360"/>
      </w:pPr>
    </w:lvl>
    <w:lvl w:ilvl="7" w:tplc="969449B4" w:tentative="1">
      <w:start w:val="1"/>
      <w:numFmt w:val="lowerLetter"/>
      <w:lvlText w:val="%8."/>
      <w:lvlJc w:val="left"/>
      <w:pPr>
        <w:tabs>
          <w:tab w:val="num" w:pos="5760"/>
        </w:tabs>
        <w:ind w:left="5760" w:hanging="360"/>
      </w:pPr>
    </w:lvl>
    <w:lvl w:ilvl="8" w:tplc="EF14959A"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E46A7C66">
      <w:start w:val="1"/>
      <w:numFmt w:val="bullet"/>
      <w:lvlText w:val=""/>
      <w:lvlJc w:val="left"/>
      <w:pPr>
        <w:tabs>
          <w:tab w:val="num" w:pos="720"/>
        </w:tabs>
        <w:ind w:left="720" w:hanging="360"/>
      </w:pPr>
      <w:rPr>
        <w:rFonts w:ascii="Symbol" w:hAnsi="Symbol" w:hint="default"/>
      </w:rPr>
    </w:lvl>
    <w:lvl w:ilvl="1" w:tplc="B0E8294C" w:tentative="1">
      <w:start w:val="1"/>
      <w:numFmt w:val="bullet"/>
      <w:lvlText w:val="o"/>
      <w:lvlJc w:val="left"/>
      <w:pPr>
        <w:tabs>
          <w:tab w:val="num" w:pos="1440"/>
        </w:tabs>
        <w:ind w:left="1440" w:hanging="360"/>
      </w:pPr>
      <w:rPr>
        <w:rFonts w:ascii="Courier New" w:hAnsi="Courier New" w:hint="default"/>
      </w:rPr>
    </w:lvl>
    <w:lvl w:ilvl="2" w:tplc="B380C0C0" w:tentative="1">
      <w:start w:val="1"/>
      <w:numFmt w:val="bullet"/>
      <w:lvlText w:val=""/>
      <w:lvlJc w:val="left"/>
      <w:pPr>
        <w:tabs>
          <w:tab w:val="num" w:pos="2160"/>
        </w:tabs>
        <w:ind w:left="2160" w:hanging="360"/>
      </w:pPr>
      <w:rPr>
        <w:rFonts w:ascii="Wingdings" w:hAnsi="Wingdings" w:hint="default"/>
      </w:rPr>
    </w:lvl>
    <w:lvl w:ilvl="3" w:tplc="27066A1C" w:tentative="1">
      <w:start w:val="1"/>
      <w:numFmt w:val="bullet"/>
      <w:lvlText w:val=""/>
      <w:lvlJc w:val="left"/>
      <w:pPr>
        <w:tabs>
          <w:tab w:val="num" w:pos="2880"/>
        </w:tabs>
        <w:ind w:left="2880" w:hanging="360"/>
      </w:pPr>
      <w:rPr>
        <w:rFonts w:ascii="Symbol" w:hAnsi="Symbol" w:hint="default"/>
      </w:rPr>
    </w:lvl>
    <w:lvl w:ilvl="4" w:tplc="1A440C4A" w:tentative="1">
      <w:start w:val="1"/>
      <w:numFmt w:val="bullet"/>
      <w:lvlText w:val="o"/>
      <w:lvlJc w:val="left"/>
      <w:pPr>
        <w:tabs>
          <w:tab w:val="num" w:pos="3600"/>
        </w:tabs>
        <w:ind w:left="3600" w:hanging="360"/>
      </w:pPr>
      <w:rPr>
        <w:rFonts w:ascii="Courier New" w:hAnsi="Courier New" w:hint="default"/>
      </w:rPr>
    </w:lvl>
    <w:lvl w:ilvl="5" w:tplc="C8DAD314" w:tentative="1">
      <w:start w:val="1"/>
      <w:numFmt w:val="bullet"/>
      <w:lvlText w:val=""/>
      <w:lvlJc w:val="left"/>
      <w:pPr>
        <w:tabs>
          <w:tab w:val="num" w:pos="4320"/>
        </w:tabs>
        <w:ind w:left="4320" w:hanging="360"/>
      </w:pPr>
      <w:rPr>
        <w:rFonts w:ascii="Wingdings" w:hAnsi="Wingdings" w:hint="default"/>
      </w:rPr>
    </w:lvl>
    <w:lvl w:ilvl="6" w:tplc="322638E8" w:tentative="1">
      <w:start w:val="1"/>
      <w:numFmt w:val="bullet"/>
      <w:lvlText w:val=""/>
      <w:lvlJc w:val="left"/>
      <w:pPr>
        <w:tabs>
          <w:tab w:val="num" w:pos="5040"/>
        </w:tabs>
        <w:ind w:left="5040" w:hanging="360"/>
      </w:pPr>
      <w:rPr>
        <w:rFonts w:ascii="Symbol" w:hAnsi="Symbol" w:hint="default"/>
      </w:rPr>
    </w:lvl>
    <w:lvl w:ilvl="7" w:tplc="7D1AECBC" w:tentative="1">
      <w:start w:val="1"/>
      <w:numFmt w:val="bullet"/>
      <w:lvlText w:val="o"/>
      <w:lvlJc w:val="left"/>
      <w:pPr>
        <w:tabs>
          <w:tab w:val="num" w:pos="5760"/>
        </w:tabs>
        <w:ind w:left="5760" w:hanging="360"/>
      </w:pPr>
      <w:rPr>
        <w:rFonts w:ascii="Courier New" w:hAnsi="Courier New" w:hint="default"/>
      </w:rPr>
    </w:lvl>
    <w:lvl w:ilvl="8" w:tplc="93849D0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F2983F08">
      <w:start w:val="1"/>
      <w:numFmt w:val="bullet"/>
      <w:lvlText w:val=""/>
      <w:lvlJc w:val="left"/>
      <w:pPr>
        <w:tabs>
          <w:tab w:val="num" w:pos="1440"/>
        </w:tabs>
        <w:ind w:left="1440" w:hanging="360"/>
      </w:pPr>
      <w:rPr>
        <w:rFonts w:ascii="Symbol" w:hAnsi="Symbol" w:hint="default"/>
      </w:rPr>
    </w:lvl>
    <w:lvl w:ilvl="1" w:tplc="6752378C" w:tentative="1">
      <w:start w:val="1"/>
      <w:numFmt w:val="bullet"/>
      <w:lvlText w:val="o"/>
      <w:lvlJc w:val="left"/>
      <w:pPr>
        <w:tabs>
          <w:tab w:val="num" w:pos="2160"/>
        </w:tabs>
        <w:ind w:left="2160" w:hanging="360"/>
      </w:pPr>
      <w:rPr>
        <w:rFonts w:ascii="Courier New" w:hAnsi="Courier New" w:hint="default"/>
      </w:rPr>
    </w:lvl>
    <w:lvl w:ilvl="2" w:tplc="7D2EDF76" w:tentative="1">
      <w:start w:val="1"/>
      <w:numFmt w:val="bullet"/>
      <w:lvlText w:val=""/>
      <w:lvlJc w:val="left"/>
      <w:pPr>
        <w:tabs>
          <w:tab w:val="num" w:pos="2880"/>
        </w:tabs>
        <w:ind w:left="2880" w:hanging="360"/>
      </w:pPr>
      <w:rPr>
        <w:rFonts w:ascii="Wingdings" w:hAnsi="Wingdings" w:hint="default"/>
      </w:rPr>
    </w:lvl>
    <w:lvl w:ilvl="3" w:tplc="3CA616B8" w:tentative="1">
      <w:start w:val="1"/>
      <w:numFmt w:val="bullet"/>
      <w:lvlText w:val=""/>
      <w:lvlJc w:val="left"/>
      <w:pPr>
        <w:tabs>
          <w:tab w:val="num" w:pos="3600"/>
        </w:tabs>
        <w:ind w:left="3600" w:hanging="360"/>
      </w:pPr>
      <w:rPr>
        <w:rFonts w:ascii="Symbol" w:hAnsi="Symbol" w:hint="default"/>
      </w:rPr>
    </w:lvl>
    <w:lvl w:ilvl="4" w:tplc="D062E004" w:tentative="1">
      <w:start w:val="1"/>
      <w:numFmt w:val="bullet"/>
      <w:lvlText w:val="o"/>
      <w:lvlJc w:val="left"/>
      <w:pPr>
        <w:tabs>
          <w:tab w:val="num" w:pos="4320"/>
        </w:tabs>
        <w:ind w:left="4320" w:hanging="360"/>
      </w:pPr>
      <w:rPr>
        <w:rFonts w:ascii="Courier New" w:hAnsi="Courier New" w:hint="default"/>
      </w:rPr>
    </w:lvl>
    <w:lvl w:ilvl="5" w:tplc="837832A0" w:tentative="1">
      <w:start w:val="1"/>
      <w:numFmt w:val="bullet"/>
      <w:lvlText w:val=""/>
      <w:lvlJc w:val="left"/>
      <w:pPr>
        <w:tabs>
          <w:tab w:val="num" w:pos="5040"/>
        </w:tabs>
        <w:ind w:left="5040" w:hanging="360"/>
      </w:pPr>
      <w:rPr>
        <w:rFonts w:ascii="Wingdings" w:hAnsi="Wingdings" w:hint="default"/>
      </w:rPr>
    </w:lvl>
    <w:lvl w:ilvl="6" w:tplc="A252912A" w:tentative="1">
      <w:start w:val="1"/>
      <w:numFmt w:val="bullet"/>
      <w:lvlText w:val=""/>
      <w:lvlJc w:val="left"/>
      <w:pPr>
        <w:tabs>
          <w:tab w:val="num" w:pos="5760"/>
        </w:tabs>
        <w:ind w:left="5760" w:hanging="360"/>
      </w:pPr>
      <w:rPr>
        <w:rFonts w:ascii="Symbol" w:hAnsi="Symbol" w:hint="default"/>
      </w:rPr>
    </w:lvl>
    <w:lvl w:ilvl="7" w:tplc="7BD046A4" w:tentative="1">
      <w:start w:val="1"/>
      <w:numFmt w:val="bullet"/>
      <w:lvlText w:val="o"/>
      <w:lvlJc w:val="left"/>
      <w:pPr>
        <w:tabs>
          <w:tab w:val="num" w:pos="6480"/>
        </w:tabs>
        <w:ind w:left="6480" w:hanging="360"/>
      </w:pPr>
      <w:rPr>
        <w:rFonts w:ascii="Courier New" w:hAnsi="Courier New" w:hint="default"/>
      </w:rPr>
    </w:lvl>
    <w:lvl w:ilvl="8" w:tplc="71AC757E"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652A8F42">
      <w:start w:val="1"/>
      <w:numFmt w:val="bullet"/>
      <w:lvlText w:val=""/>
      <w:lvlJc w:val="left"/>
      <w:pPr>
        <w:tabs>
          <w:tab w:val="num" w:pos="1440"/>
        </w:tabs>
        <w:ind w:left="1440" w:hanging="360"/>
      </w:pPr>
      <w:rPr>
        <w:rFonts w:ascii="Symbol" w:hAnsi="Symbol" w:hint="default"/>
      </w:rPr>
    </w:lvl>
    <w:lvl w:ilvl="1" w:tplc="5EC41882" w:tentative="1">
      <w:start w:val="1"/>
      <w:numFmt w:val="bullet"/>
      <w:lvlText w:val="o"/>
      <w:lvlJc w:val="left"/>
      <w:pPr>
        <w:tabs>
          <w:tab w:val="num" w:pos="2160"/>
        </w:tabs>
        <w:ind w:left="2160" w:hanging="360"/>
      </w:pPr>
      <w:rPr>
        <w:rFonts w:ascii="Courier New" w:hAnsi="Courier New" w:hint="default"/>
      </w:rPr>
    </w:lvl>
    <w:lvl w:ilvl="2" w:tplc="86CCB58E" w:tentative="1">
      <w:start w:val="1"/>
      <w:numFmt w:val="bullet"/>
      <w:lvlText w:val=""/>
      <w:lvlJc w:val="left"/>
      <w:pPr>
        <w:tabs>
          <w:tab w:val="num" w:pos="2880"/>
        </w:tabs>
        <w:ind w:left="2880" w:hanging="360"/>
      </w:pPr>
      <w:rPr>
        <w:rFonts w:ascii="Wingdings" w:hAnsi="Wingdings" w:hint="default"/>
      </w:rPr>
    </w:lvl>
    <w:lvl w:ilvl="3" w:tplc="A6E67A1E" w:tentative="1">
      <w:start w:val="1"/>
      <w:numFmt w:val="bullet"/>
      <w:lvlText w:val=""/>
      <w:lvlJc w:val="left"/>
      <w:pPr>
        <w:tabs>
          <w:tab w:val="num" w:pos="3600"/>
        </w:tabs>
        <w:ind w:left="3600" w:hanging="360"/>
      </w:pPr>
      <w:rPr>
        <w:rFonts w:ascii="Symbol" w:hAnsi="Symbol" w:hint="default"/>
      </w:rPr>
    </w:lvl>
    <w:lvl w:ilvl="4" w:tplc="5ABC3E0E" w:tentative="1">
      <w:start w:val="1"/>
      <w:numFmt w:val="bullet"/>
      <w:lvlText w:val="o"/>
      <w:lvlJc w:val="left"/>
      <w:pPr>
        <w:tabs>
          <w:tab w:val="num" w:pos="4320"/>
        </w:tabs>
        <w:ind w:left="4320" w:hanging="360"/>
      </w:pPr>
      <w:rPr>
        <w:rFonts w:ascii="Courier New" w:hAnsi="Courier New" w:hint="default"/>
      </w:rPr>
    </w:lvl>
    <w:lvl w:ilvl="5" w:tplc="01E89892" w:tentative="1">
      <w:start w:val="1"/>
      <w:numFmt w:val="bullet"/>
      <w:lvlText w:val=""/>
      <w:lvlJc w:val="left"/>
      <w:pPr>
        <w:tabs>
          <w:tab w:val="num" w:pos="5040"/>
        </w:tabs>
        <w:ind w:left="5040" w:hanging="360"/>
      </w:pPr>
      <w:rPr>
        <w:rFonts w:ascii="Wingdings" w:hAnsi="Wingdings" w:hint="default"/>
      </w:rPr>
    </w:lvl>
    <w:lvl w:ilvl="6" w:tplc="BC64EDAE" w:tentative="1">
      <w:start w:val="1"/>
      <w:numFmt w:val="bullet"/>
      <w:lvlText w:val=""/>
      <w:lvlJc w:val="left"/>
      <w:pPr>
        <w:tabs>
          <w:tab w:val="num" w:pos="5760"/>
        </w:tabs>
        <w:ind w:left="5760" w:hanging="360"/>
      </w:pPr>
      <w:rPr>
        <w:rFonts w:ascii="Symbol" w:hAnsi="Symbol" w:hint="default"/>
      </w:rPr>
    </w:lvl>
    <w:lvl w:ilvl="7" w:tplc="D26C25AC" w:tentative="1">
      <w:start w:val="1"/>
      <w:numFmt w:val="bullet"/>
      <w:lvlText w:val="o"/>
      <w:lvlJc w:val="left"/>
      <w:pPr>
        <w:tabs>
          <w:tab w:val="num" w:pos="6480"/>
        </w:tabs>
        <w:ind w:left="6480" w:hanging="360"/>
      </w:pPr>
      <w:rPr>
        <w:rFonts w:ascii="Courier New" w:hAnsi="Courier New" w:hint="default"/>
      </w:rPr>
    </w:lvl>
    <w:lvl w:ilvl="8" w:tplc="A0DA5280"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0EDEA91A">
      <w:start w:val="1"/>
      <w:numFmt w:val="bullet"/>
      <w:lvlText w:val=""/>
      <w:lvlJc w:val="left"/>
      <w:pPr>
        <w:tabs>
          <w:tab w:val="num" w:pos="1440"/>
        </w:tabs>
        <w:ind w:left="1440" w:hanging="360"/>
      </w:pPr>
      <w:rPr>
        <w:rFonts w:ascii="Symbol" w:hAnsi="Symbol" w:hint="default"/>
      </w:rPr>
    </w:lvl>
    <w:lvl w:ilvl="1" w:tplc="DBCA6848">
      <w:start w:val="1"/>
      <w:numFmt w:val="bullet"/>
      <w:lvlText w:val="o"/>
      <w:lvlJc w:val="left"/>
      <w:pPr>
        <w:tabs>
          <w:tab w:val="num" w:pos="2160"/>
        </w:tabs>
        <w:ind w:left="2160" w:hanging="360"/>
      </w:pPr>
      <w:rPr>
        <w:rFonts w:ascii="Courier New" w:hAnsi="Courier New" w:hint="default"/>
      </w:rPr>
    </w:lvl>
    <w:lvl w:ilvl="2" w:tplc="1484664E" w:tentative="1">
      <w:start w:val="1"/>
      <w:numFmt w:val="bullet"/>
      <w:lvlText w:val=""/>
      <w:lvlJc w:val="left"/>
      <w:pPr>
        <w:tabs>
          <w:tab w:val="num" w:pos="2880"/>
        </w:tabs>
        <w:ind w:left="2880" w:hanging="360"/>
      </w:pPr>
      <w:rPr>
        <w:rFonts w:ascii="Wingdings" w:hAnsi="Wingdings" w:hint="default"/>
      </w:rPr>
    </w:lvl>
    <w:lvl w:ilvl="3" w:tplc="5C8AB240" w:tentative="1">
      <w:start w:val="1"/>
      <w:numFmt w:val="bullet"/>
      <w:lvlText w:val=""/>
      <w:lvlJc w:val="left"/>
      <w:pPr>
        <w:tabs>
          <w:tab w:val="num" w:pos="3600"/>
        </w:tabs>
        <w:ind w:left="3600" w:hanging="360"/>
      </w:pPr>
      <w:rPr>
        <w:rFonts w:ascii="Symbol" w:hAnsi="Symbol" w:hint="default"/>
      </w:rPr>
    </w:lvl>
    <w:lvl w:ilvl="4" w:tplc="D8CCB018" w:tentative="1">
      <w:start w:val="1"/>
      <w:numFmt w:val="bullet"/>
      <w:lvlText w:val="o"/>
      <w:lvlJc w:val="left"/>
      <w:pPr>
        <w:tabs>
          <w:tab w:val="num" w:pos="4320"/>
        </w:tabs>
        <w:ind w:left="4320" w:hanging="360"/>
      </w:pPr>
      <w:rPr>
        <w:rFonts w:ascii="Courier New" w:hAnsi="Courier New" w:hint="default"/>
      </w:rPr>
    </w:lvl>
    <w:lvl w:ilvl="5" w:tplc="1F34715A" w:tentative="1">
      <w:start w:val="1"/>
      <w:numFmt w:val="bullet"/>
      <w:lvlText w:val=""/>
      <w:lvlJc w:val="left"/>
      <w:pPr>
        <w:tabs>
          <w:tab w:val="num" w:pos="5040"/>
        </w:tabs>
        <w:ind w:left="5040" w:hanging="360"/>
      </w:pPr>
      <w:rPr>
        <w:rFonts w:ascii="Wingdings" w:hAnsi="Wingdings" w:hint="default"/>
      </w:rPr>
    </w:lvl>
    <w:lvl w:ilvl="6" w:tplc="0B9CB4BA" w:tentative="1">
      <w:start w:val="1"/>
      <w:numFmt w:val="bullet"/>
      <w:lvlText w:val=""/>
      <w:lvlJc w:val="left"/>
      <w:pPr>
        <w:tabs>
          <w:tab w:val="num" w:pos="5760"/>
        </w:tabs>
        <w:ind w:left="5760" w:hanging="360"/>
      </w:pPr>
      <w:rPr>
        <w:rFonts w:ascii="Symbol" w:hAnsi="Symbol" w:hint="default"/>
      </w:rPr>
    </w:lvl>
    <w:lvl w:ilvl="7" w:tplc="F5045C26" w:tentative="1">
      <w:start w:val="1"/>
      <w:numFmt w:val="bullet"/>
      <w:lvlText w:val="o"/>
      <w:lvlJc w:val="left"/>
      <w:pPr>
        <w:tabs>
          <w:tab w:val="num" w:pos="6480"/>
        </w:tabs>
        <w:ind w:left="6480" w:hanging="360"/>
      </w:pPr>
      <w:rPr>
        <w:rFonts w:ascii="Courier New" w:hAnsi="Courier New" w:hint="default"/>
      </w:rPr>
    </w:lvl>
    <w:lvl w:ilvl="8" w:tplc="9D705480"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A41C50CC">
      <w:start w:val="1"/>
      <w:numFmt w:val="bullet"/>
      <w:lvlText w:val=""/>
      <w:lvlJc w:val="left"/>
      <w:pPr>
        <w:tabs>
          <w:tab w:val="num" w:pos="720"/>
        </w:tabs>
        <w:ind w:left="720" w:hanging="360"/>
      </w:pPr>
      <w:rPr>
        <w:rFonts w:ascii="Symbol" w:hAnsi="Symbol" w:hint="default"/>
      </w:rPr>
    </w:lvl>
    <w:lvl w:ilvl="1" w:tplc="2EB2EEFC">
      <w:start w:val="1"/>
      <w:numFmt w:val="bullet"/>
      <w:lvlText w:val="o"/>
      <w:lvlJc w:val="left"/>
      <w:pPr>
        <w:tabs>
          <w:tab w:val="num" w:pos="1440"/>
        </w:tabs>
        <w:ind w:left="1440" w:hanging="360"/>
      </w:pPr>
      <w:rPr>
        <w:rFonts w:ascii="Courier New" w:hAnsi="Courier New" w:hint="default"/>
      </w:rPr>
    </w:lvl>
    <w:lvl w:ilvl="2" w:tplc="E506CAF2" w:tentative="1">
      <w:start w:val="1"/>
      <w:numFmt w:val="bullet"/>
      <w:lvlText w:val=""/>
      <w:lvlJc w:val="left"/>
      <w:pPr>
        <w:tabs>
          <w:tab w:val="num" w:pos="2160"/>
        </w:tabs>
        <w:ind w:left="2160" w:hanging="360"/>
      </w:pPr>
      <w:rPr>
        <w:rFonts w:ascii="Wingdings" w:hAnsi="Wingdings" w:hint="default"/>
      </w:rPr>
    </w:lvl>
    <w:lvl w:ilvl="3" w:tplc="19F2E244" w:tentative="1">
      <w:start w:val="1"/>
      <w:numFmt w:val="bullet"/>
      <w:lvlText w:val=""/>
      <w:lvlJc w:val="left"/>
      <w:pPr>
        <w:tabs>
          <w:tab w:val="num" w:pos="2880"/>
        </w:tabs>
        <w:ind w:left="2880" w:hanging="360"/>
      </w:pPr>
      <w:rPr>
        <w:rFonts w:ascii="Symbol" w:hAnsi="Symbol" w:hint="default"/>
      </w:rPr>
    </w:lvl>
    <w:lvl w:ilvl="4" w:tplc="08FC2BEE" w:tentative="1">
      <w:start w:val="1"/>
      <w:numFmt w:val="bullet"/>
      <w:lvlText w:val="o"/>
      <w:lvlJc w:val="left"/>
      <w:pPr>
        <w:tabs>
          <w:tab w:val="num" w:pos="3600"/>
        </w:tabs>
        <w:ind w:left="3600" w:hanging="360"/>
      </w:pPr>
      <w:rPr>
        <w:rFonts w:ascii="Courier New" w:hAnsi="Courier New" w:hint="default"/>
      </w:rPr>
    </w:lvl>
    <w:lvl w:ilvl="5" w:tplc="C220F69E" w:tentative="1">
      <w:start w:val="1"/>
      <w:numFmt w:val="bullet"/>
      <w:lvlText w:val=""/>
      <w:lvlJc w:val="left"/>
      <w:pPr>
        <w:tabs>
          <w:tab w:val="num" w:pos="4320"/>
        </w:tabs>
        <w:ind w:left="4320" w:hanging="360"/>
      </w:pPr>
      <w:rPr>
        <w:rFonts w:ascii="Wingdings" w:hAnsi="Wingdings" w:hint="default"/>
      </w:rPr>
    </w:lvl>
    <w:lvl w:ilvl="6" w:tplc="A0DE1284" w:tentative="1">
      <w:start w:val="1"/>
      <w:numFmt w:val="bullet"/>
      <w:lvlText w:val=""/>
      <w:lvlJc w:val="left"/>
      <w:pPr>
        <w:tabs>
          <w:tab w:val="num" w:pos="5040"/>
        </w:tabs>
        <w:ind w:left="5040" w:hanging="360"/>
      </w:pPr>
      <w:rPr>
        <w:rFonts w:ascii="Symbol" w:hAnsi="Symbol" w:hint="default"/>
      </w:rPr>
    </w:lvl>
    <w:lvl w:ilvl="7" w:tplc="A08EEE80" w:tentative="1">
      <w:start w:val="1"/>
      <w:numFmt w:val="bullet"/>
      <w:lvlText w:val="o"/>
      <w:lvlJc w:val="left"/>
      <w:pPr>
        <w:tabs>
          <w:tab w:val="num" w:pos="5760"/>
        </w:tabs>
        <w:ind w:left="5760" w:hanging="360"/>
      </w:pPr>
      <w:rPr>
        <w:rFonts w:ascii="Courier New" w:hAnsi="Courier New" w:hint="default"/>
      </w:rPr>
    </w:lvl>
    <w:lvl w:ilvl="8" w:tplc="368C234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17C683AE">
      <w:start w:val="1"/>
      <w:numFmt w:val="lowerRoman"/>
      <w:lvlText w:val="%1.)"/>
      <w:lvlJc w:val="left"/>
      <w:pPr>
        <w:tabs>
          <w:tab w:val="num" w:pos="540"/>
        </w:tabs>
        <w:ind w:left="255" w:hanging="435"/>
      </w:pPr>
      <w:rPr>
        <w:rFonts w:hint="default"/>
      </w:rPr>
    </w:lvl>
    <w:lvl w:ilvl="1" w:tplc="0D20EED2" w:tentative="1">
      <w:start w:val="1"/>
      <w:numFmt w:val="lowerLetter"/>
      <w:lvlText w:val="%2."/>
      <w:lvlJc w:val="left"/>
      <w:pPr>
        <w:tabs>
          <w:tab w:val="num" w:pos="1260"/>
        </w:tabs>
        <w:ind w:left="1260" w:hanging="360"/>
      </w:pPr>
    </w:lvl>
    <w:lvl w:ilvl="2" w:tplc="71A0853A" w:tentative="1">
      <w:start w:val="1"/>
      <w:numFmt w:val="lowerRoman"/>
      <w:lvlText w:val="%3."/>
      <w:lvlJc w:val="right"/>
      <w:pPr>
        <w:tabs>
          <w:tab w:val="num" w:pos="1980"/>
        </w:tabs>
        <w:ind w:left="1980" w:hanging="180"/>
      </w:pPr>
    </w:lvl>
    <w:lvl w:ilvl="3" w:tplc="A5CCFC40" w:tentative="1">
      <w:start w:val="1"/>
      <w:numFmt w:val="decimal"/>
      <w:lvlText w:val="%4."/>
      <w:lvlJc w:val="left"/>
      <w:pPr>
        <w:tabs>
          <w:tab w:val="num" w:pos="2700"/>
        </w:tabs>
        <w:ind w:left="2700" w:hanging="360"/>
      </w:pPr>
    </w:lvl>
    <w:lvl w:ilvl="4" w:tplc="AAEE035E" w:tentative="1">
      <w:start w:val="1"/>
      <w:numFmt w:val="lowerLetter"/>
      <w:lvlText w:val="%5."/>
      <w:lvlJc w:val="left"/>
      <w:pPr>
        <w:tabs>
          <w:tab w:val="num" w:pos="3420"/>
        </w:tabs>
        <w:ind w:left="3420" w:hanging="360"/>
      </w:pPr>
    </w:lvl>
    <w:lvl w:ilvl="5" w:tplc="87148CFE" w:tentative="1">
      <w:start w:val="1"/>
      <w:numFmt w:val="lowerRoman"/>
      <w:lvlText w:val="%6."/>
      <w:lvlJc w:val="right"/>
      <w:pPr>
        <w:tabs>
          <w:tab w:val="num" w:pos="4140"/>
        </w:tabs>
        <w:ind w:left="4140" w:hanging="180"/>
      </w:pPr>
    </w:lvl>
    <w:lvl w:ilvl="6" w:tplc="76BA3FDC" w:tentative="1">
      <w:start w:val="1"/>
      <w:numFmt w:val="decimal"/>
      <w:lvlText w:val="%7."/>
      <w:lvlJc w:val="left"/>
      <w:pPr>
        <w:tabs>
          <w:tab w:val="num" w:pos="4860"/>
        </w:tabs>
        <w:ind w:left="4860" w:hanging="360"/>
      </w:pPr>
    </w:lvl>
    <w:lvl w:ilvl="7" w:tplc="2A2664B0" w:tentative="1">
      <w:start w:val="1"/>
      <w:numFmt w:val="lowerLetter"/>
      <w:lvlText w:val="%8."/>
      <w:lvlJc w:val="left"/>
      <w:pPr>
        <w:tabs>
          <w:tab w:val="num" w:pos="5580"/>
        </w:tabs>
        <w:ind w:left="5580" w:hanging="360"/>
      </w:pPr>
    </w:lvl>
    <w:lvl w:ilvl="8" w:tplc="4922F6BA"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269EE846">
      <w:start w:val="1"/>
      <w:numFmt w:val="decimal"/>
      <w:lvlText w:val="%1."/>
      <w:lvlJc w:val="left"/>
      <w:pPr>
        <w:tabs>
          <w:tab w:val="num" w:pos="180"/>
        </w:tabs>
        <w:ind w:left="180" w:hanging="360"/>
      </w:pPr>
      <w:rPr>
        <w:rFonts w:hint="default"/>
      </w:rPr>
    </w:lvl>
    <w:lvl w:ilvl="1" w:tplc="8A3A6ECA" w:tentative="1">
      <w:start w:val="1"/>
      <w:numFmt w:val="lowerLetter"/>
      <w:lvlText w:val="%2."/>
      <w:lvlJc w:val="left"/>
      <w:pPr>
        <w:tabs>
          <w:tab w:val="num" w:pos="900"/>
        </w:tabs>
        <w:ind w:left="900" w:hanging="360"/>
      </w:pPr>
    </w:lvl>
    <w:lvl w:ilvl="2" w:tplc="BFF0F614" w:tentative="1">
      <w:start w:val="1"/>
      <w:numFmt w:val="lowerRoman"/>
      <w:lvlText w:val="%3."/>
      <w:lvlJc w:val="right"/>
      <w:pPr>
        <w:tabs>
          <w:tab w:val="num" w:pos="1620"/>
        </w:tabs>
        <w:ind w:left="1620" w:hanging="180"/>
      </w:pPr>
    </w:lvl>
    <w:lvl w:ilvl="3" w:tplc="E050EA88" w:tentative="1">
      <w:start w:val="1"/>
      <w:numFmt w:val="decimal"/>
      <w:lvlText w:val="%4."/>
      <w:lvlJc w:val="left"/>
      <w:pPr>
        <w:tabs>
          <w:tab w:val="num" w:pos="2340"/>
        </w:tabs>
        <w:ind w:left="2340" w:hanging="360"/>
      </w:pPr>
    </w:lvl>
    <w:lvl w:ilvl="4" w:tplc="F5242222" w:tentative="1">
      <w:start w:val="1"/>
      <w:numFmt w:val="lowerLetter"/>
      <w:lvlText w:val="%5."/>
      <w:lvlJc w:val="left"/>
      <w:pPr>
        <w:tabs>
          <w:tab w:val="num" w:pos="3060"/>
        </w:tabs>
        <w:ind w:left="3060" w:hanging="360"/>
      </w:pPr>
    </w:lvl>
    <w:lvl w:ilvl="5" w:tplc="ED8CA1A6" w:tentative="1">
      <w:start w:val="1"/>
      <w:numFmt w:val="lowerRoman"/>
      <w:lvlText w:val="%6."/>
      <w:lvlJc w:val="right"/>
      <w:pPr>
        <w:tabs>
          <w:tab w:val="num" w:pos="3780"/>
        </w:tabs>
        <w:ind w:left="3780" w:hanging="180"/>
      </w:pPr>
    </w:lvl>
    <w:lvl w:ilvl="6" w:tplc="01B27464" w:tentative="1">
      <w:start w:val="1"/>
      <w:numFmt w:val="decimal"/>
      <w:lvlText w:val="%7."/>
      <w:lvlJc w:val="left"/>
      <w:pPr>
        <w:tabs>
          <w:tab w:val="num" w:pos="4500"/>
        </w:tabs>
        <w:ind w:left="4500" w:hanging="360"/>
      </w:pPr>
    </w:lvl>
    <w:lvl w:ilvl="7" w:tplc="80DCF91C" w:tentative="1">
      <w:start w:val="1"/>
      <w:numFmt w:val="lowerLetter"/>
      <w:lvlText w:val="%8."/>
      <w:lvlJc w:val="left"/>
      <w:pPr>
        <w:tabs>
          <w:tab w:val="num" w:pos="5220"/>
        </w:tabs>
        <w:ind w:left="5220" w:hanging="360"/>
      </w:pPr>
    </w:lvl>
    <w:lvl w:ilvl="8" w:tplc="6A44410A"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67D02D98">
      <w:start w:val="1"/>
      <w:numFmt w:val="bullet"/>
      <w:lvlText w:val=""/>
      <w:lvlJc w:val="left"/>
      <w:pPr>
        <w:tabs>
          <w:tab w:val="num" w:pos="720"/>
        </w:tabs>
        <w:ind w:left="720" w:hanging="360"/>
      </w:pPr>
      <w:rPr>
        <w:rFonts w:ascii="Symbol" w:hAnsi="Symbol" w:hint="default"/>
      </w:rPr>
    </w:lvl>
    <w:lvl w:ilvl="1" w:tplc="8BA02184" w:tentative="1">
      <w:start w:val="1"/>
      <w:numFmt w:val="bullet"/>
      <w:lvlText w:val="o"/>
      <w:lvlJc w:val="left"/>
      <w:pPr>
        <w:tabs>
          <w:tab w:val="num" w:pos="1440"/>
        </w:tabs>
        <w:ind w:left="1440" w:hanging="360"/>
      </w:pPr>
      <w:rPr>
        <w:rFonts w:ascii="Courier New" w:hAnsi="Courier New" w:hint="default"/>
      </w:rPr>
    </w:lvl>
    <w:lvl w:ilvl="2" w:tplc="30D02398" w:tentative="1">
      <w:start w:val="1"/>
      <w:numFmt w:val="bullet"/>
      <w:lvlText w:val=""/>
      <w:lvlJc w:val="left"/>
      <w:pPr>
        <w:tabs>
          <w:tab w:val="num" w:pos="2160"/>
        </w:tabs>
        <w:ind w:left="2160" w:hanging="360"/>
      </w:pPr>
      <w:rPr>
        <w:rFonts w:ascii="Wingdings" w:hAnsi="Wingdings" w:hint="default"/>
      </w:rPr>
    </w:lvl>
    <w:lvl w:ilvl="3" w:tplc="067C0C74" w:tentative="1">
      <w:start w:val="1"/>
      <w:numFmt w:val="bullet"/>
      <w:lvlText w:val=""/>
      <w:lvlJc w:val="left"/>
      <w:pPr>
        <w:tabs>
          <w:tab w:val="num" w:pos="2880"/>
        </w:tabs>
        <w:ind w:left="2880" w:hanging="360"/>
      </w:pPr>
      <w:rPr>
        <w:rFonts w:ascii="Symbol" w:hAnsi="Symbol" w:hint="default"/>
      </w:rPr>
    </w:lvl>
    <w:lvl w:ilvl="4" w:tplc="1B6EAB02" w:tentative="1">
      <w:start w:val="1"/>
      <w:numFmt w:val="bullet"/>
      <w:lvlText w:val="o"/>
      <w:lvlJc w:val="left"/>
      <w:pPr>
        <w:tabs>
          <w:tab w:val="num" w:pos="3600"/>
        </w:tabs>
        <w:ind w:left="3600" w:hanging="360"/>
      </w:pPr>
      <w:rPr>
        <w:rFonts w:ascii="Courier New" w:hAnsi="Courier New" w:hint="default"/>
      </w:rPr>
    </w:lvl>
    <w:lvl w:ilvl="5" w:tplc="18167B40" w:tentative="1">
      <w:start w:val="1"/>
      <w:numFmt w:val="bullet"/>
      <w:lvlText w:val=""/>
      <w:lvlJc w:val="left"/>
      <w:pPr>
        <w:tabs>
          <w:tab w:val="num" w:pos="4320"/>
        </w:tabs>
        <w:ind w:left="4320" w:hanging="360"/>
      </w:pPr>
      <w:rPr>
        <w:rFonts w:ascii="Wingdings" w:hAnsi="Wingdings" w:hint="default"/>
      </w:rPr>
    </w:lvl>
    <w:lvl w:ilvl="6" w:tplc="C4B83B00" w:tentative="1">
      <w:start w:val="1"/>
      <w:numFmt w:val="bullet"/>
      <w:lvlText w:val=""/>
      <w:lvlJc w:val="left"/>
      <w:pPr>
        <w:tabs>
          <w:tab w:val="num" w:pos="5040"/>
        </w:tabs>
        <w:ind w:left="5040" w:hanging="360"/>
      </w:pPr>
      <w:rPr>
        <w:rFonts w:ascii="Symbol" w:hAnsi="Symbol" w:hint="default"/>
      </w:rPr>
    </w:lvl>
    <w:lvl w:ilvl="7" w:tplc="F75AE538" w:tentative="1">
      <w:start w:val="1"/>
      <w:numFmt w:val="bullet"/>
      <w:lvlText w:val="o"/>
      <w:lvlJc w:val="left"/>
      <w:pPr>
        <w:tabs>
          <w:tab w:val="num" w:pos="5760"/>
        </w:tabs>
        <w:ind w:left="5760" w:hanging="360"/>
      </w:pPr>
      <w:rPr>
        <w:rFonts w:ascii="Courier New" w:hAnsi="Courier New" w:hint="default"/>
      </w:rPr>
    </w:lvl>
    <w:lvl w:ilvl="8" w:tplc="237EDDB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DA462FD6">
      <w:start w:val="1"/>
      <w:numFmt w:val="bullet"/>
      <w:lvlText w:val=""/>
      <w:lvlJc w:val="left"/>
      <w:pPr>
        <w:tabs>
          <w:tab w:val="num" w:pos="720"/>
        </w:tabs>
        <w:ind w:left="720" w:hanging="360"/>
      </w:pPr>
      <w:rPr>
        <w:rFonts w:ascii="Symbol" w:hAnsi="Symbol" w:hint="default"/>
      </w:rPr>
    </w:lvl>
    <w:lvl w:ilvl="1" w:tplc="70C0E98A">
      <w:start w:val="1"/>
      <w:numFmt w:val="bullet"/>
      <w:lvlText w:val="o"/>
      <w:lvlJc w:val="left"/>
      <w:pPr>
        <w:tabs>
          <w:tab w:val="num" w:pos="1440"/>
        </w:tabs>
        <w:ind w:left="1440" w:hanging="360"/>
      </w:pPr>
      <w:rPr>
        <w:rFonts w:ascii="Courier New" w:hAnsi="Courier New" w:hint="default"/>
      </w:rPr>
    </w:lvl>
    <w:lvl w:ilvl="2" w:tplc="D89201C2" w:tentative="1">
      <w:start w:val="1"/>
      <w:numFmt w:val="bullet"/>
      <w:lvlText w:val=""/>
      <w:lvlJc w:val="left"/>
      <w:pPr>
        <w:tabs>
          <w:tab w:val="num" w:pos="2160"/>
        </w:tabs>
        <w:ind w:left="2160" w:hanging="360"/>
      </w:pPr>
      <w:rPr>
        <w:rFonts w:ascii="Wingdings" w:hAnsi="Wingdings" w:hint="default"/>
      </w:rPr>
    </w:lvl>
    <w:lvl w:ilvl="3" w:tplc="E320BDDE" w:tentative="1">
      <w:start w:val="1"/>
      <w:numFmt w:val="bullet"/>
      <w:lvlText w:val=""/>
      <w:lvlJc w:val="left"/>
      <w:pPr>
        <w:tabs>
          <w:tab w:val="num" w:pos="2880"/>
        </w:tabs>
        <w:ind w:left="2880" w:hanging="360"/>
      </w:pPr>
      <w:rPr>
        <w:rFonts w:ascii="Symbol" w:hAnsi="Symbol" w:hint="default"/>
      </w:rPr>
    </w:lvl>
    <w:lvl w:ilvl="4" w:tplc="6A0CC8F6" w:tentative="1">
      <w:start w:val="1"/>
      <w:numFmt w:val="bullet"/>
      <w:lvlText w:val="o"/>
      <w:lvlJc w:val="left"/>
      <w:pPr>
        <w:tabs>
          <w:tab w:val="num" w:pos="3600"/>
        </w:tabs>
        <w:ind w:left="3600" w:hanging="360"/>
      </w:pPr>
      <w:rPr>
        <w:rFonts w:ascii="Courier New" w:hAnsi="Courier New" w:hint="default"/>
      </w:rPr>
    </w:lvl>
    <w:lvl w:ilvl="5" w:tplc="206E609E" w:tentative="1">
      <w:start w:val="1"/>
      <w:numFmt w:val="bullet"/>
      <w:lvlText w:val=""/>
      <w:lvlJc w:val="left"/>
      <w:pPr>
        <w:tabs>
          <w:tab w:val="num" w:pos="4320"/>
        </w:tabs>
        <w:ind w:left="4320" w:hanging="360"/>
      </w:pPr>
      <w:rPr>
        <w:rFonts w:ascii="Wingdings" w:hAnsi="Wingdings" w:hint="default"/>
      </w:rPr>
    </w:lvl>
    <w:lvl w:ilvl="6" w:tplc="FCDE99E2" w:tentative="1">
      <w:start w:val="1"/>
      <w:numFmt w:val="bullet"/>
      <w:lvlText w:val=""/>
      <w:lvlJc w:val="left"/>
      <w:pPr>
        <w:tabs>
          <w:tab w:val="num" w:pos="5040"/>
        </w:tabs>
        <w:ind w:left="5040" w:hanging="360"/>
      </w:pPr>
      <w:rPr>
        <w:rFonts w:ascii="Symbol" w:hAnsi="Symbol" w:hint="default"/>
      </w:rPr>
    </w:lvl>
    <w:lvl w:ilvl="7" w:tplc="21984F74" w:tentative="1">
      <w:start w:val="1"/>
      <w:numFmt w:val="bullet"/>
      <w:lvlText w:val="o"/>
      <w:lvlJc w:val="left"/>
      <w:pPr>
        <w:tabs>
          <w:tab w:val="num" w:pos="5760"/>
        </w:tabs>
        <w:ind w:left="5760" w:hanging="360"/>
      </w:pPr>
      <w:rPr>
        <w:rFonts w:ascii="Courier New" w:hAnsi="Courier New" w:hint="default"/>
      </w:rPr>
    </w:lvl>
    <w:lvl w:ilvl="8" w:tplc="A0625E0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46768C4A">
      <w:start w:val="1"/>
      <w:numFmt w:val="decimal"/>
      <w:pStyle w:val="References"/>
      <w:lvlText w:val="%1."/>
      <w:lvlJc w:val="left"/>
      <w:pPr>
        <w:tabs>
          <w:tab w:val="num" w:pos="360"/>
        </w:tabs>
        <w:ind w:left="360" w:hanging="360"/>
      </w:pPr>
      <w:rPr>
        <w:rFonts w:hint="default"/>
      </w:rPr>
    </w:lvl>
    <w:lvl w:ilvl="1" w:tplc="6E52D00E">
      <w:start w:val="1"/>
      <w:numFmt w:val="lowerLetter"/>
      <w:lvlText w:val="%2."/>
      <w:lvlJc w:val="left"/>
      <w:pPr>
        <w:tabs>
          <w:tab w:val="num" w:pos="1620"/>
        </w:tabs>
        <w:ind w:left="1620" w:hanging="360"/>
      </w:pPr>
    </w:lvl>
    <w:lvl w:ilvl="2" w:tplc="658418DA" w:tentative="1">
      <w:start w:val="1"/>
      <w:numFmt w:val="lowerRoman"/>
      <w:lvlText w:val="%3."/>
      <w:lvlJc w:val="right"/>
      <w:pPr>
        <w:tabs>
          <w:tab w:val="num" w:pos="2340"/>
        </w:tabs>
        <w:ind w:left="2340" w:hanging="180"/>
      </w:pPr>
    </w:lvl>
    <w:lvl w:ilvl="3" w:tplc="C6E4BAFC" w:tentative="1">
      <w:start w:val="1"/>
      <w:numFmt w:val="decimal"/>
      <w:lvlText w:val="%4."/>
      <w:lvlJc w:val="left"/>
      <w:pPr>
        <w:tabs>
          <w:tab w:val="num" w:pos="3060"/>
        </w:tabs>
        <w:ind w:left="3060" w:hanging="360"/>
      </w:pPr>
    </w:lvl>
    <w:lvl w:ilvl="4" w:tplc="E3BE90BE" w:tentative="1">
      <w:start w:val="1"/>
      <w:numFmt w:val="lowerLetter"/>
      <w:lvlText w:val="%5."/>
      <w:lvlJc w:val="left"/>
      <w:pPr>
        <w:tabs>
          <w:tab w:val="num" w:pos="3780"/>
        </w:tabs>
        <w:ind w:left="3780" w:hanging="360"/>
      </w:pPr>
    </w:lvl>
    <w:lvl w:ilvl="5" w:tplc="7370194C" w:tentative="1">
      <w:start w:val="1"/>
      <w:numFmt w:val="lowerRoman"/>
      <w:lvlText w:val="%6."/>
      <w:lvlJc w:val="right"/>
      <w:pPr>
        <w:tabs>
          <w:tab w:val="num" w:pos="4500"/>
        </w:tabs>
        <w:ind w:left="4500" w:hanging="180"/>
      </w:pPr>
    </w:lvl>
    <w:lvl w:ilvl="6" w:tplc="CAC81298" w:tentative="1">
      <w:start w:val="1"/>
      <w:numFmt w:val="decimal"/>
      <w:lvlText w:val="%7."/>
      <w:lvlJc w:val="left"/>
      <w:pPr>
        <w:tabs>
          <w:tab w:val="num" w:pos="5220"/>
        </w:tabs>
        <w:ind w:left="5220" w:hanging="360"/>
      </w:pPr>
    </w:lvl>
    <w:lvl w:ilvl="7" w:tplc="95F8AE9E" w:tentative="1">
      <w:start w:val="1"/>
      <w:numFmt w:val="lowerLetter"/>
      <w:lvlText w:val="%8."/>
      <w:lvlJc w:val="left"/>
      <w:pPr>
        <w:tabs>
          <w:tab w:val="num" w:pos="5940"/>
        </w:tabs>
        <w:ind w:left="5940" w:hanging="360"/>
      </w:pPr>
    </w:lvl>
    <w:lvl w:ilvl="8" w:tplc="6DDE6C36"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13C4875C">
      <w:start w:val="1"/>
      <w:numFmt w:val="bullet"/>
      <w:lvlText w:val=""/>
      <w:lvlJc w:val="left"/>
      <w:pPr>
        <w:tabs>
          <w:tab w:val="num" w:pos="720"/>
        </w:tabs>
        <w:ind w:left="720" w:hanging="360"/>
      </w:pPr>
      <w:rPr>
        <w:rFonts w:ascii="Symbol" w:hAnsi="Symbol" w:hint="default"/>
      </w:rPr>
    </w:lvl>
    <w:lvl w:ilvl="1" w:tplc="6D9A1AB6" w:tentative="1">
      <w:start w:val="1"/>
      <w:numFmt w:val="bullet"/>
      <w:lvlText w:val="o"/>
      <w:lvlJc w:val="left"/>
      <w:pPr>
        <w:tabs>
          <w:tab w:val="num" w:pos="1440"/>
        </w:tabs>
        <w:ind w:left="1440" w:hanging="360"/>
      </w:pPr>
      <w:rPr>
        <w:rFonts w:ascii="Courier New" w:hAnsi="Courier New" w:hint="default"/>
      </w:rPr>
    </w:lvl>
    <w:lvl w:ilvl="2" w:tplc="3DDA2F1C" w:tentative="1">
      <w:start w:val="1"/>
      <w:numFmt w:val="bullet"/>
      <w:lvlText w:val=""/>
      <w:lvlJc w:val="left"/>
      <w:pPr>
        <w:tabs>
          <w:tab w:val="num" w:pos="2160"/>
        </w:tabs>
        <w:ind w:left="2160" w:hanging="360"/>
      </w:pPr>
      <w:rPr>
        <w:rFonts w:ascii="Wingdings" w:hAnsi="Wingdings" w:hint="default"/>
      </w:rPr>
    </w:lvl>
    <w:lvl w:ilvl="3" w:tplc="8BB8B952" w:tentative="1">
      <w:start w:val="1"/>
      <w:numFmt w:val="bullet"/>
      <w:lvlText w:val=""/>
      <w:lvlJc w:val="left"/>
      <w:pPr>
        <w:tabs>
          <w:tab w:val="num" w:pos="2880"/>
        </w:tabs>
        <w:ind w:left="2880" w:hanging="360"/>
      </w:pPr>
      <w:rPr>
        <w:rFonts w:ascii="Symbol" w:hAnsi="Symbol" w:hint="default"/>
      </w:rPr>
    </w:lvl>
    <w:lvl w:ilvl="4" w:tplc="08AE7AE0" w:tentative="1">
      <w:start w:val="1"/>
      <w:numFmt w:val="bullet"/>
      <w:lvlText w:val="o"/>
      <w:lvlJc w:val="left"/>
      <w:pPr>
        <w:tabs>
          <w:tab w:val="num" w:pos="3600"/>
        </w:tabs>
        <w:ind w:left="3600" w:hanging="360"/>
      </w:pPr>
      <w:rPr>
        <w:rFonts w:ascii="Courier New" w:hAnsi="Courier New" w:hint="default"/>
      </w:rPr>
    </w:lvl>
    <w:lvl w:ilvl="5" w:tplc="4BF8F5E2" w:tentative="1">
      <w:start w:val="1"/>
      <w:numFmt w:val="bullet"/>
      <w:lvlText w:val=""/>
      <w:lvlJc w:val="left"/>
      <w:pPr>
        <w:tabs>
          <w:tab w:val="num" w:pos="4320"/>
        </w:tabs>
        <w:ind w:left="4320" w:hanging="360"/>
      </w:pPr>
      <w:rPr>
        <w:rFonts w:ascii="Wingdings" w:hAnsi="Wingdings" w:hint="default"/>
      </w:rPr>
    </w:lvl>
    <w:lvl w:ilvl="6" w:tplc="79507BEA" w:tentative="1">
      <w:start w:val="1"/>
      <w:numFmt w:val="bullet"/>
      <w:lvlText w:val=""/>
      <w:lvlJc w:val="left"/>
      <w:pPr>
        <w:tabs>
          <w:tab w:val="num" w:pos="5040"/>
        </w:tabs>
        <w:ind w:left="5040" w:hanging="360"/>
      </w:pPr>
      <w:rPr>
        <w:rFonts w:ascii="Symbol" w:hAnsi="Symbol" w:hint="default"/>
      </w:rPr>
    </w:lvl>
    <w:lvl w:ilvl="7" w:tplc="5BC4D6A4" w:tentative="1">
      <w:start w:val="1"/>
      <w:numFmt w:val="bullet"/>
      <w:lvlText w:val="o"/>
      <w:lvlJc w:val="left"/>
      <w:pPr>
        <w:tabs>
          <w:tab w:val="num" w:pos="5760"/>
        </w:tabs>
        <w:ind w:left="5760" w:hanging="360"/>
      </w:pPr>
      <w:rPr>
        <w:rFonts w:ascii="Courier New" w:hAnsi="Courier New" w:hint="default"/>
      </w:rPr>
    </w:lvl>
    <w:lvl w:ilvl="8" w:tplc="F740E96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002743"/>
    <w:rsid w:val="000100CE"/>
    <w:rsid w:val="00022311"/>
    <w:rsid w:val="00084530"/>
    <w:rsid w:val="000C2854"/>
    <w:rsid w:val="000D4B70"/>
    <w:rsid w:val="000E568B"/>
    <w:rsid w:val="00135A52"/>
    <w:rsid w:val="001460D0"/>
    <w:rsid w:val="00152995"/>
    <w:rsid w:val="001B529F"/>
    <w:rsid w:val="001D3A85"/>
    <w:rsid w:val="001D5984"/>
    <w:rsid w:val="001E01B7"/>
    <w:rsid w:val="00213462"/>
    <w:rsid w:val="00245321"/>
    <w:rsid w:val="00247788"/>
    <w:rsid w:val="00250295"/>
    <w:rsid w:val="00276453"/>
    <w:rsid w:val="0028783D"/>
    <w:rsid w:val="002A13E8"/>
    <w:rsid w:val="002A7D95"/>
    <w:rsid w:val="002C7750"/>
    <w:rsid w:val="002E327B"/>
    <w:rsid w:val="002E5DFF"/>
    <w:rsid w:val="002F59D7"/>
    <w:rsid w:val="00327E4C"/>
    <w:rsid w:val="00330D7E"/>
    <w:rsid w:val="00344107"/>
    <w:rsid w:val="003670BC"/>
    <w:rsid w:val="00372611"/>
    <w:rsid w:val="003A33F5"/>
    <w:rsid w:val="003A3B40"/>
    <w:rsid w:val="003A5C60"/>
    <w:rsid w:val="003C38A3"/>
    <w:rsid w:val="003D4D38"/>
    <w:rsid w:val="003E7F03"/>
    <w:rsid w:val="004003F3"/>
    <w:rsid w:val="00407013"/>
    <w:rsid w:val="004278D3"/>
    <w:rsid w:val="00427C29"/>
    <w:rsid w:val="0043267F"/>
    <w:rsid w:val="00434DFB"/>
    <w:rsid w:val="00440CB5"/>
    <w:rsid w:val="00443D14"/>
    <w:rsid w:val="00487D21"/>
    <w:rsid w:val="004B0C95"/>
    <w:rsid w:val="004C048E"/>
    <w:rsid w:val="004C612F"/>
    <w:rsid w:val="004E3B24"/>
    <w:rsid w:val="004E5588"/>
    <w:rsid w:val="004F10E0"/>
    <w:rsid w:val="004F25D7"/>
    <w:rsid w:val="00502AAF"/>
    <w:rsid w:val="0050777E"/>
    <w:rsid w:val="00511A05"/>
    <w:rsid w:val="00520D08"/>
    <w:rsid w:val="00522381"/>
    <w:rsid w:val="0053761D"/>
    <w:rsid w:val="00563508"/>
    <w:rsid w:val="0058469B"/>
    <w:rsid w:val="00594481"/>
    <w:rsid w:val="00594544"/>
    <w:rsid w:val="005A5112"/>
    <w:rsid w:val="005A5F1C"/>
    <w:rsid w:val="005B59B0"/>
    <w:rsid w:val="005D739B"/>
    <w:rsid w:val="005E0474"/>
    <w:rsid w:val="005F3DA2"/>
    <w:rsid w:val="00616902"/>
    <w:rsid w:val="00625EB3"/>
    <w:rsid w:val="00640676"/>
    <w:rsid w:val="006606DF"/>
    <w:rsid w:val="006C6905"/>
    <w:rsid w:val="006E4FD0"/>
    <w:rsid w:val="006F133F"/>
    <w:rsid w:val="006F13E7"/>
    <w:rsid w:val="00717B09"/>
    <w:rsid w:val="00724BD4"/>
    <w:rsid w:val="00732F3E"/>
    <w:rsid w:val="00751E51"/>
    <w:rsid w:val="00787CD1"/>
    <w:rsid w:val="007A7A21"/>
    <w:rsid w:val="007D0DBE"/>
    <w:rsid w:val="008174D5"/>
    <w:rsid w:val="00835820"/>
    <w:rsid w:val="0086700C"/>
    <w:rsid w:val="00875A7E"/>
    <w:rsid w:val="008B3500"/>
    <w:rsid w:val="008B4286"/>
    <w:rsid w:val="008B6AA8"/>
    <w:rsid w:val="008C0A26"/>
    <w:rsid w:val="008D0EC7"/>
    <w:rsid w:val="008D1497"/>
    <w:rsid w:val="008F3CD2"/>
    <w:rsid w:val="008F66A2"/>
    <w:rsid w:val="009040A8"/>
    <w:rsid w:val="00935101"/>
    <w:rsid w:val="009455EA"/>
    <w:rsid w:val="00950072"/>
    <w:rsid w:val="00952412"/>
    <w:rsid w:val="00955EEB"/>
    <w:rsid w:val="0096524D"/>
    <w:rsid w:val="00985287"/>
    <w:rsid w:val="0099305C"/>
    <w:rsid w:val="009B581D"/>
    <w:rsid w:val="009D13D5"/>
    <w:rsid w:val="00A01B68"/>
    <w:rsid w:val="00A143C7"/>
    <w:rsid w:val="00A15253"/>
    <w:rsid w:val="00A169DD"/>
    <w:rsid w:val="00A2708C"/>
    <w:rsid w:val="00A35F6D"/>
    <w:rsid w:val="00A56FB5"/>
    <w:rsid w:val="00A95098"/>
    <w:rsid w:val="00A96CFF"/>
    <w:rsid w:val="00A96D21"/>
    <w:rsid w:val="00AC5761"/>
    <w:rsid w:val="00AD38A4"/>
    <w:rsid w:val="00AD4AAC"/>
    <w:rsid w:val="00AE6AD2"/>
    <w:rsid w:val="00AF6164"/>
    <w:rsid w:val="00AF7327"/>
    <w:rsid w:val="00B02B7D"/>
    <w:rsid w:val="00B30715"/>
    <w:rsid w:val="00B31280"/>
    <w:rsid w:val="00B95D45"/>
    <w:rsid w:val="00BC051A"/>
    <w:rsid w:val="00BE1B9B"/>
    <w:rsid w:val="00C266BA"/>
    <w:rsid w:val="00C4013B"/>
    <w:rsid w:val="00C61019"/>
    <w:rsid w:val="00C82D73"/>
    <w:rsid w:val="00C94CFE"/>
    <w:rsid w:val="00CA045A"/>
    <w:rsid w:val="00CA0507"/>
    <w:rsid w:val="00CF1C9D"/>
    <w:rsid w:val="00D56BD4"/>
    <w:rsid w:val="00D77966"/>
    <w:rsid w:val="00D83FE8"/>
    <w:rsid w:val="00DC69F1"/>
    <w:rsid w:val="00DC742C"/>
    <w:rsid w:val="00DD3378"/>
    <w:rsid w:val="00DD71EF"/>
    <w:rsid w:val="00DE5B72"/>
    <w:rsid w:val="00DF30F4"/>
    <w:rsid w:val="00E046B2"/>
    <w:rsid w:val="00E56B55"/>
    <w:rsid w:val="00E618D6"/>
    <w:rsid w:val="00E668A9"/>
    <w:rsid w:val="00E76486"/>
    <w:rsid w:val="00E9255E"/>
    <w:rsid w:val="00E9636B"/>
    <w:rsid w:val="00EB1C21"/>
    <w:rsid w:val="00EE1078"/>
    <w:rsid w:val="00EE4AF7"/>
    <w:rsid w:val="00EE5954"/>
    <w:rsid w:val="00EF1362"/>
    <w:rsid w:val="00F027EC"/>
    <w:rsid w:val="00F1322E"/>
    <w:rsid w:val="00F30181"/>
    <w:rsid w:val="00F344CF"/>
    <w:rsid w:val="00F35F98"/>
    <w:rsid w:val="00F551BB"/>
    <w:rsid w:val="00F91A46"/>
    <w:rsid w:val="00FA23DE"/>
    <w:rsid w:val="00FB5138"/>
    <w:rsid w:val="00FB5985"/>
    <w:rsid w:val="00FC73E0"/>
    <w:rsid w:val="00FF65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94A78"/>
  <w15:chartTrackingRefBased/>
  <w15:docId w15:val="{B5987027-953E-4C32-A6A2-5D7F07D3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hAnsi="Times New Roman"/>
      <w:lang w:eastAsia="en-US"/>
    </w:rPr>
  </w:style>
  <w:style w:type="paragraph" w:styleId="Titolo1">
    <w:name w:val="heading 1"/>
    <w:basedOn w:val="Normale"/>
    <w:next w:val="Normale"/>
    <w:qFormat/>
    <w:pPr>
      <w:keepNext/>
      <w:spacing w:before="240" w:after="60"/>
      <w:outlineLvl w:val="0"/>
    </w:pPr>
    <w:rPr>
      <w:rFonts w:ascii="Arial" w:hAnsi="Arial"/>
      <w:b/>
      <w:sz w:val="28"/>
    </w:rPr>
  </w:style>
  <w:style w:type="paragraph" w:styleId="Titolo2">
    <w:name w:val="heading 2"/>
    <w:basedOn w:val="Normale"/>
    <w:next w:val="Normale"/>
    <w:qFormat/>
    <w:pPr>
      <w:keepNext/>
      <w:spacing w:before="240" w:after="60"/>
      <w:outlineLvl w:val="1"/>
    </w:pPr>
    <w:rPr>
      <w:rFonts w:ascii="Arial" w:hAnsi="Arial"/>
      <w:b/>
      <w:i/>
      <w:sz w:val="22"/>
    </w:rPr>
  </w:style>
  <w:style w:type="paragraph" w:styleId="Titolo3">
    <w:name w:val="heading 3"/>
    <w:basedOn w:val="Normale"/>
    <w:next w:val="Normale"/>
    <w:qFormat/>
    <w:pPr>
      <w:keepNext/>
      <w:spacing w:before="240" w:after="60"/>
      <w:outlineLvl w:val="2"/>
    </w:pPr>
    <w:rPr>
      <w:rFonts w:ascii="Arial" w:hAnsi="Arial"/>
      <w:b/>
      <w:bCs/>
    </w:rPr>
  </w:style>
  <w:style w:type="paragraph" w:styleId="Titolo4">
    <w:name w:val="heading 4"/>
    <w:basedOn w:val="Normale"/>
    <w:next w:val="Normale"/>
    <w:qFormat/>
    <w:pPr>
      <w:keepNext/>
      <w:outlineLvl w:val="3"/>
    </w:pPr>
    <w:rPr>
      <w:rFonts w:ascii="Arial" w:hAnsi="Arial"/>
      <w:snapToGrid w:val="0"/>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320"/>
        <w:tab w:val="right" w:pos="8640"/>
      </w:tabs>
    </w:pPr>
  </w:style>
  <w:style w:type="paragraph" w:styleId="Intestazione">
    <w:name w:val="header"/>
    <w:basedOn w:val="Normale"/>
    <w:pPr>
      <w:tabs>
        <w:tab w:val="center" w:pos="5400"/>
        <w:tab w:val="right" w:pos="10800"/>
      </w:tabs>
    </w:pPr>
    <w:rPr>
      <w:rFonts w:ascii="Arial" w:hAnsi="Arial"/>
      <w:sz w:val="16"/>
    </w:rPr>
  </w:style>
  <w:style w:type="paragraph" w:styleId="Titolo">
    <w:name w:val="Title"/>
    <w:basedOn w:val="Number"/>
    <w:next w:val="Author"/>
    <w:qFormat/>
    <w:pPr>
      <w:spacing w:before="0" w:after="0"/>
    </w:pPr>
    <w:rPr>
      <w:b/>
      <w:bCs/>
      <w:sz w:val="22"/>
    </w:rPr>
  </w:style>
  <w:style w:type="paragraph" w:customStyle="1" w:styleId="Number">
    <w:name w:val="Number"/>
    <w:basedOn w:val="Normale"/>
    <w:next w:val="Titolo"/>
    <w:pPr>
      <w:spacing w:before="120" w:after="360"/>
    </w:pPr>
    <w:rPr>
      <w:rFonts w:ascii="Arial" w:hAnsi="Arial"/>
      <w:sz w:val="28"/>
    </w:rPr>
  </w:style>
  <w:style w:type="paragraph" w:customStyle="1" w:styleId="Author">
    <w:name w:val="Author"/>
    <w:basedOn w:val="Normale"/>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Corpotesto">
    <w:name w:val="Body Text"/>
    <w:basedOn w:val="Normale"/>
    <w:rPr>
      <w:sz w:val="22"/>
    </w:rPr>
  </w:style>
  <w:style w:type="paragraph" w:styleId="Corpodeltesto2">
    <w:name w:val="Body Text 2"/>
    <w:basedOn w:val="Normale"/>
    <w:pPr>
      <w:ind w:firstLine="360"/>
      <w:jc w:val="both"/>
    </w:pPr>
  </w:style>
  <w:style w:type="paragraph" w:styleId="Testodelblocco">
    <w:name w:val="Block Text"/>
    <w:basedOn w:val="Normale"/>
    <w:pPr>
      <w:ind w:left="144" w:right="-86" w:hanging="144"/>
      <w:jc w:val="both"/>
    </w:pPr>
  </w:style>
  <w:style w:type="paragraph" w:customStyle="1" w:styleId="rule">
    <w:name w:val="rule"/>
    <w:basedOn w:val="Normale"/>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e"/>
    <w:next w:val="para1"/>
    <w:pPr>
      <w:jc w:val="both"/>
    </w:pPr>
  </w:style>
  <w:style w:type="paragraph" w:customStyle="1" w:styleId="para1">
    <w:name w:val="para1"/>
    <w:basedOn w:val="para"/>
    <w:pPr>
      <w:spacing w:before="120"/>
      <w:ind w:firstLine="288"/>
    </w:pPr>
  </w:style>
  <w:style w:type="paragraph" w:styleId="Corpodeltesto3">
    <w:name w:val="Body Text 3"/>
    <w:basedOn w:val="Normale"/>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e"/>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Rientrocorpodeltesto">
    <w:name w:val="Body Text Indent"/>
    <w:basedOn w:val="Normale"/>
    <w:pPr>
      <w:ind w:left="1080" w:hanging="1080"/>
      <w:jc w:val="both"/>
    </w:pPr>
    <w:rPr>
      <w:rFonts w:ascii="Arial" w:hAnsi="Arial"/>
      <w:sz w:val="22"/>
      <w:lang w:val="en-US"/>
    </w:rPr>
  </w:style>
  <w:style w:type="paragraph" w:styleId="Rientrocorpodeltesto2">
    <w:name w:val="Body Text Indent 2"/>
    <w:basedOn w:val="Normale"/>
    <w:pPr>
      <w:ind w:left="360" w:hanging="720"/>
    </w:pPr>
  </w:style>
  <w:style w:type="character" w:styleId="Collegamentoipertestuale">
    <w:name w:val="Hyperlink"/>
    <w:rPr>
      <w:color w:val="0000FF"/>
      <w:u w:val="single"/>
    </w:rPr>
  </w:style>
  <w:style w:type="paragraph" w:styleId="Testonotaapidipagina">
    <w:name w:val="footnote text"/>
    <w:basedOn w:val="Normale"/>
    <w:link w:val="TestonotaapidipaginaCarattere"/>
    <w:rsid w:val="00022311"/>
  </w:style>
  <w:style w:type="character" w:customStyle="1" w:styleId="TestonotaapidipaginaCarattere">
    <w:name w:val="Testo nota a piè di pagina Carattere"/>
    <w:link w:val="Testonotaapidipagina"/>
    <w:rsid w:val="00022311"/>
    <w:rPr>
      <w:rFonts w:ascii="Times New Roman" w:hAnsi="Times New Roman"/>
      <w:lang w:val="en-GB" w:eastAsia="en-US"/>
    </w:rPr>
  </w:style>
  <w:style w:type="character" w:styleId="Rimandonotaapidipagina">
    <w:name w:val="footnote reference"/>
    <w:rsid w:val="00022311"/>
    <w:rPr>
      <w:vertAlign w:val="superscript"/>
    </w:rPr>
  </w:style>
  <w:style w:type="paragraph" w:styleId="Testofumetto">
    <w:name w:val="Balloon Text"/>
    <w:basedOn w:val="Normale"/>
    <w:link w:val="TestofumettoCarattere"/>
    <w:rsid w:val="009040A8"/>
    <w:rPr>
      <w:rFonts w:ascii="Tahoma" w:hAnsi="Tahoma" w:cs="Tahoma"/>
      <w:sz w:val="16"/>
      <w:szCs w:val="16"/>
    </w:rPr>
  </w:style>
  <w:style w:type="character" w:customStyle="1" w:styleId="TestofumettoCarattere">
    <w:name w:val="Testo fumetto Carattere"/>
    <w:link w:val="Testofumetto"/>
    <w:rsid w:val="009040A8"/>
    <w:rPr>
      <w:rFonts w:ascii="Tahoma" w:hAnsi="Tahoma" w:cs="Tahoma"/>
      <w:sz w:val="16"/>
      <w:szCs w:val="16"/>
      <w:lang w:val="en-GB" w:eastAsia="en-US"/>
    </w:rPr>
  </w:style>
  <w:style w:type="character" w:styleId="Rimandocommento">
    <w:name w:val="annotation reference"/>
    <w:rsid w:val="009040A8"/>
    <w:rPr>
      <w:sz w:val="16"/>
      <w:szCs w:val="16"/>
    </w:rPr>
  </w:style>
  <w:style w:type="paragraph" w:styleId="Testocommento">
    <w:name w:val="annotation text"/>
    <w:basedOn w:val="Normale"/>
    <w:link w:val="TestocommentoCarattere"/>
    <w:rsid w:val="009040A8"/>
  </w:style>
  <w:style w:type="character" w:customStyle="1" w:styleId="TestocommentoCarattere">
    <w:name w:val="Testo commento Carattere"/>
    <w:link w:val="Testocommento"/>
    <w:rsid w:val="009040A8"/>
    <w:rPr>
      <w:rFonts w:ascii="Times New Roman" w:hAnsi="Times New Roman"/>
      <w:lang w:val="en-GB" w:eastAsia="en-US"/>
    </w:rPr>
  </w:style>
  <w:style w:type="paragraph" w:styleId="Soggettocommento">
    <w:name w:val="annotation subject"/>
    <w:basedOn w:val="Testocommento"/>
    <w:next w:val="Testocommento"/>
    <w:link w:val="SoggettocommentoCarattere"/>
    <w:rsid w:val="009040A8"/>
    <w:rPr>
      <w:b/>
      <w:bCs/>
    </w:rPr>
  </w:style>
  <w:style w:type="character" w:customStyle="1" w:styleId="SoggettocommentoCarattere">
    <w:name w:val="Soggetto commento Carattere"/>
    <w:link w:val="Soggettocommento"/>
    <w:rsid w:val="009040A8"/>
    <w:rPr>
      <w:rFonts w:ascii="Times New Roman" w:hAnsi="Times New Roman"/>
      <w:b/>
      <w:bCs/>
      <w:lang w:val="en-GB" w:eastAsia="en-US"/>
    </w:rPr>
  </w:style>
  <w:style w:type="character" w:customStyle="1" w:styleId="UnresolvedMention">
    <w:name w:val="Unresolved Mention"/>
    <w:basedOn w:val="Carpredefinitoparagrafo"/>
    <w:uiPriority w:val="99"/>
    <w:semiHidden/>
    <w:unhideWhenUsed/>
    <w:rsid w:val="00DC7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clepro.2020.124519" TargetMode="External"/><Relationship Id="rId13" Type="http://schemas.openxmlformats.org/officeDocument/2006/relationships/hyperlink" Target="https://doi.org/10.1162/glep_a_0054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temeh.nazifi@mq.edu.au" TargetMode="External"/><Relationship Id="rId12" Type="http://schemas.openxmlformats.org/officeDocument/2006/relationships/hyperlink" Target="https://doi.org/10.1016/j.jclepro.2020.12346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8/1748-9326/abdae9" TargetMode="External"/><Relationship Id="rId5" Type="http://schemas.openxmlformats.org/officeDocument/2006/relationships/footnotes" Target="footnotes.xml"/><Relationship Id="rId15" Type="http://schemas.openxmlformats.org/officeDocument/2006/relationships/hyperlink" Target="https://carbonpricingdashboard.worldbank.org/what-carbon-pricing" TargetMode="External"/><Relationship Id="rId10" Type="http://schemas.openxmlformats.org/officeDocument/2006/relationships/hyperlink" Target="https://doi.org/10.1002/wcc.531" TargetMode="External"/><Relationship Id="rId4" Type="http://schemas.openxmlformats.org/officeDocument/2006/relationships/webSettings" Target="webSettings.xml"/><Relationship Id="rId9" Type="http://schemas.openxmlformats.org/officeDocument/2006/relationships/hyperlink" Target="https://doi.org/10.1016/j.enpol.2020.111541" TargetMode="External"/><Relationship Id="rId14" Type="http://schemas.openxmlformats.org/officeDocument/2006/relationships/hyperlink" Target="https://doi.org/10.1016/j.jclepro.2019.1186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2c514c1-a717-4087-be06-d40d2070ad52}" enabled="0" method="" siteId="{82c514c1-a717-4087-be06-d40d2070ad52}"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4481</Words>
  <Characters>25542</Characters>
  <Application>Microsoft Office Word</Application>
  <DocSecurity>0</DocSecurity>
  <Lines>212</Lines>
  <Paragraphs>59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Company>Macquarie University</Company>
  <LinksUpToDate>false</LinksUpToDate>
  <CharactersWithSpaces>29964</CharactersWithSpaces>
  <SharedDoc>false</SharedDoc>
  <HLinks>
    <vt:vector size="6" baseType="variant">
      <vt:variant>
        <vt:i4>4653165</vt:i4>
      </vt:variant>
      <vt:variant>
        <vt:i4>0</vt:i4>
      </vt:variant>
      <vt:variant>
        <vt:i4>0</vt:i4>
      </vt:variant>
      <vt:variant>
        <vt:i4>5</vt:i4>
      </vt:variant>
      <vt:variant>
        <vt:lpwstr>mailto:fatemeh.nazifi@mq.edu.au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WS1</dc:creator>
  <cp:keywords/>
  <cp:lastModifiedBy>segreteria</cp:lastModifiedBy>
  <cp:revision>2</cp:revision>
  <cp:lastPrinted>2012-01-18T23:58:00Z</cp:lastPrinted>
  <dcterms:created xsi:type="dcterms:W3CDTF">2023-04-07T08:58:00Z</dcterms:created>
  <dcterms:modified xsi:type="dcterms:W3CDTF">2023-04-07T08:58:00Z</dcterms:modified>
</cp:coreProperties>
</file>