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5E5F2" w14:textId="77777777" w:rsidR="00DC69F1" w:rsidRDefault="00DC69F1" w:rsidP="00DC69F1">
      <w:pPr>
        <w:framePr w:w="10800" w:h="214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14:paraId="56034ADB" w14:textId="264FB736" w:rsidR="00DC69F1" w:rsidRDefault="00EC78AB" w:rsidP="00DC69F1">
      <w:pPr>
        <w:pStyle w:val="Corpotesto"/>
        <w:framePr w:w="10800" w:h="2142" w:hRule="exact" w:hSpace="187" w:wrap="auto" w:vAnchor="page" w:hAnchor="page" w:x="714" w:y="1085"/>
        <w:rPr>
          <w:b/>
          <w:sz w:val="28"/>
          <w:szCs w:val="28"/>
        </w:rPr>
      </w:pPr>
      <w:r w:rsidRPr="00EC78AB">
        <w:rPr>
          <w:b/>
          <w:i/>
          <w:caps/>
          <w:sz w:val="28"/>
          <w:szCs w:val="28"/>
        </w:rPr>
        <w:t>Agent-based simulation of pathways towards neighbourhood-level building retrofits</w:t>
      </w:r>
    </w:p>
    <w:p w14:paraId="575B9A82" w14:textId="46A20698" w:rsidR="00840250" w:rsidRPr="002D55C8" w:rsidRDefault="00840250" w:rsidP="00DC69F1">
      <w:pPr>
        <w:pStyle w:val="Corpotesto"/>
        <w:framePr w:w="10800" w:h="2142" w:hRule="exact" w:hSpace="187" w:wrap="auto" w:vAnchor="page" w:hAnchor="page" w:x="714" w:y="1085"/>
        <w:jc w:val="right"/>
        <w:rPr>
          <w:sz w:val="20"/>
          <w:lang w:val="de-AT"/>
        </w:rPr>
      </w:pPr>
      <w:r w:rsidRPr="002D55C8">
        <w:rPr>
          <w:sz w:val="20"/>
          <w:lang w:val="de-AT"/>
        </w:rPr>
        <w:t>Ardak Akhatova</w:t>
      </w:r>
      <w:r w:rsidR="00EC78AB" w:rsidRPr="002D55C8">
        <w:rPr>
          <w:sz w:val="20"/>
          <w:lang w:val="de-AT"/>
        </w:rPr>
        <w:t xml:space="preserve">, </w:t>
      </w:r>
      <w:r w:rsidRPr="002D55C8">
        <w:rPr>
          <w:sz w:val="20"/>
          <w:lang w:val="de-AT"/>
        </w:rPr>
        <w:t>Technische Universität Wien, Karlsplatz 13, 1040 Vienna</w:t>
      </w:r>
      <w:r w:rsidR="00DC69F1" w:rsidRPr="002D55C8">
        <w:rPr>
          <w:sz w:val="20"/>
          <w:lang w:val="de-AT"/>
        </w:rPr>
        <w:t>,</w:t>
      </w:r>
      <w:r w:rsidRPr="002D55C8">
        <w:rPr>
          <w:sz w:val="20"/>
          <w:lang w:val="de-AT"/>
        </w:rPr>
        <w:t xml:space="preserve"> Austria</w:t>
      </w:r>
    </w:p>
    <w:p w14:paraId="70435D18" w14:textId="105E4540" w:rsidR="00DC69F1" w:rsidRPr="002D55C8" w:rsidRDefault="00DC69F1" w:rsidP="00DC69F1">
      <w:pPr>
        <w:pStyle w:val="Corpotesto"/>
        <w:framePr w:w="10800" w:h="2142" w:hRule="exact" w:hSpace="187" w:wrap="auto" w:vAnchor="page" w:hAnchor="page" w:x="714" w:y="1085"/>
        <w:jc w:val="right"/>
        <w:rPr>
          <w:sz w:val="20"/>
          <w:lang w:val="de-AT"/>
        </w:rPr>
      </w:pPr>
      <w:r w:rsidRPr="002D55C8">
        <w:rPr>
          <w:sz w:val="20"/>
          <w:lang w:val="de-AT"/>
        </w:rPr>
        <w:t xml:space="preserve"> </w:t>
      </w:r>
      <w:r w:rsidR="00840250" w:rsidRPr="002D55C8">
        <w:rPr>
          <w:sz w:val="20"/>
          <w:lang w:val="de-AT"/>
        </w:rPr>
        <w:t>+43 1 58801 370336</w:t>
      </w:r>
      <w:r w:rsidRPr="002D55C8">
        <w:rPr>
          <w:sz w:val="20"/>
          <w:lang w:val="de-AT"/>
        </w:rPr>
        <w:t xml:space="preserve">, </w:t>
      </w:r>
      <w:hyperlink r:id="rId11" w:history="1">
        <w:r w:rsidR="00EC78AB" w:rsidRPr="002D55C8">
          <w:rPr>
            <w:rStyle w:val="Collegamentoipertestuale"/>
            <w:sz w:val="20"/>
            <w:lang w:val="de-AT"/>
          </w:rPr>
          <w:t>akhatova@eeg.tuwien.ac.at</w:t>
        </w:r>
      </w:hyperlink>
    </w:p>
    <w:p w14:paraId="0C04C49F" w14:textId="77777777" w:rsidR="00EC78AB" w:rsidRPr="002D55C8" w:rsidRDefault="00EC78AB" w:rsidP="00EC78AB">
      <w:pPr>
        <w:pStyle w:val="Corpotesto"/>
        <w:framePr w:w="10800" w:h="2142" w:hRule="exact" w:hSpace="187" w:wrap="auto" w:vAnchor="page" w:hAnchor="page" w:x="714" w:y="1085"/>
        <w:jc w:val="right"/>
        <w:rPr>
          <w:sz w:val="20"/>
          <w:lang w:val="de-AT"/>
        </w:rPr>
      </w:pPr>
      <w:r w:rsidRPr="002D55C8">
        <w:rPr>
          <w:sz w:val="20"/>
          <w:lang w:val="de-AT"/>
        </w:rPr>
        <w:t>Lukas Kranzl, Technische Universität Wien, Karlsplatz 13, 1040 Vienna, Austria</w:t>
      </w:r>
    </w:p>
    <w:p w14:paraId="2DF7D05E" w14:textId="0F2969B8" w:rsidR="00EC78AB" w:rsidRDefault="00EC78AB" w:rsidP="00EC78AB">
      <w:pPr>
        <w:pStyle w:val="Corpotesto"/>
        <w:framePr w:w="10800" w:h="2142" w:hRule="exact" w:hSpace="187" w:wrap="auto" w:vAnchor="page" w:hAnchor="page" w:x="714" w:y="1085"/>
        <w:jc w:val="right"/>
        <w:rPr>
          <w:sz w:val="20"/>
        </w:rPr>
      </w:pPr>
      <w:r w:rsidRPr="002D55C8">
        <w:rPr>
          <w:sz w:val="20"/>
          <w:lang w:val="de-AT"/>
        </w:rPr>
        <w:t xml:space="preserve"> </w:t>
      </w:r>
      <w:r w:rsidRPr="00840250">
        <w:rPr>
          <w:sz w:val="20"/>
        </w:rPr>
        <w:t xml:space="preserve">+43 1 58801 </w:t>
      </w:r>
      <w:r w:rsidRPr="00EC78AB">
        <w:rPr>
          <w:sz w:val="20"/>
        </w:rPr>
        <w:t>370351</w:t>
      </w:r>
      <w:r w:rsidRPr="00D767DA">
        <w:rPr>
          <w:sz w:val="20"/>
        </w:rPr>
        <w:t xml:space="preserve">, </w:t>
      </w:r>
      <w:hyperlink r:id="rId12" w:history="1">
        <w:r w:rsidRPr="009343CC">
          <w:rPr>
            <w:rStyle w:val="Collegamentoipertestuale"/>
            <w:sz w:val="20"/>
          </w:rPr>
          <w:t>kranzl@eeg.tuwien.ac.at</w:t>
        </w:r>
      </w:hyperlink>
    </w:p>
    <w:p w14:paraId="4DADEE14" w14:textId="2FA63DF0" w:rsidR="00EC78AB" w:rsidRPr="00D767DA" w:rsidRDefault="00EC78AB" w:rsidP="00EC78AB">
      <w:pPr>
        <w:pStyle w:val="Corpotesto"/>
        <w:framePr w:w="10800" w:h="2142" w:hRule="exact" w:hSpace="187" w:wrap="auto" w:vAnchor="page" w:hAnchor="page" w:x="714" w:y="1085"/>
        <w:jc w:val="center"/>
        <w:rPr>
          <w:sz w:val="20"/>
        </w:rPr>
      </w:pPr>
    </w:p>
    <w:p w14:paraId="3FAA028C" w14:textId="77777777" w:rsidR="00DC69F1" w:rsidRPr="00840250" w:rsidRDefault="00840250" w:rsidP="00EC78AB">
      <w:pPr>
        <w:pStyle w:val="Corpotesto"/>
        <w:framePr w:w="10800" w:h="2142" w:hRule="exact" w:hSpace="187" w:wrap="auto" w:vAnchor="page" w:hAnchor="page" w:x="714" w:y="1085"/>
        <w:rPr>
          <w:sz w:val="20"/>
        </w:rPr>
      </w:pPr>
      <w:r>
        <w:rPr>
          <w:sz w:val="20"/>
        </w:rPr>
        <w:t xml:space="preserve"> </w:t>
      </w:r>
      <w:r w:rsidR="00DC69F1">
        <w:t xml:space="preserve"> </w:t>
      </w:r>
    </w:p>
    <w:p w14:paraId="7830810F" w14:textId="77777777" w:rsidR="00DC69F1" w:rsidRDefault="00DC69F1">
      <w:pPr>
        <w:pStyle w:val="copyright"/>
      </w:pPr>
    </w:p>
    <w:p w14:paraId="77D4123C" w14:textId="77777777" w:rsidR="004C048E" w:rsidRDefault="004C048E" w:rsidP="00FC73E0">
      <w:pPr>
        <w:pStyle w:val="Corpodeltesto2"/>
        <w:spacing w:after="200"/>
        <w:rPr>
          <w:highlight w:val="yellow"/>
        </w:rPr>
      </w:pPr>
    </w:p>
    <w:p w14:paraId="1DCC7652" w14:textId="77777777" w:rsidR="00DC69F1" w:rsidRPr="00476853" w:rsidRDefault="00DC69F1" w:rsidP="00DC69F1">
      <w:pPr>
        <w:pStyle w:val="Titolo2"/>
        <w:ind w:left="-810" w:firstLine="810"/>
        <w:rPr>
          <w:i w:val="0"/>
          <w:sz w:val="24"/>
          <w:szCs w:val="24"/>
        </w:rPr>
      </w:pPr>
      <w:r w:rsidRPr="00476853">
        <w:rPr>
          <w:i w:val="0"/>
          <w:sz w:val="24"/>
          <w:szCs w:val="24"/>
        </w:rPr>
        <w:t>Overview</w:t>
      </w:r>
    </w:p>
    <w:p w14:paraId="08037641" w14:textId="68894593" w:rsidR="007370F7" w:rsidRPr="00103DDA" w:rsidRDefault="002B709E" w:rsidP="00AE0DEC">
      <w:pPr>
        <w:pStyle w:val="Testocommento"/>
        <w:spacing w:after="120"/>
        <w:jc w:val="left"/>
      </w:pPr>
      <w:r>
        <w:t xml:space="preserve">Energy-efficient retrofitting of existing buildings and </w:t>
      </w:r>
      <w:r w:rsidR="00B5441A">
        <w:t>neighborhoods</w:t>
      </w:r>
      <w:r w:rsidR="00B53DE8">
        <w:t xml:space="preserve">, including measures such as </w:t>
      </w:r>
      <w:r w:rsidR="00B53DE8" w:rsidRPr="00B53DE8">
        <w:t>thermal insulation of a building envelope (i.e., walls, roof, floor)</w:t>
      </w:r>
      <w:r w:rsidR="00B53DE8">
        <w:t xml:space="preserve"> </w:t>
      </w:r>
      <w:r w:rsidR="00960B9E">
        <w:t>and</w:t>
      </w:r>
      <w:r w:rsidR="00B53DE8">
        <w:t xml:space="preserve"> installation of</w:t>
      </w:r>
      <w:r w:rsidR="00B53DE8" w:rsidRPr="00B53DE8">
        <w:t xml:space="preserve"> energy-efficient windows</w:t>
      </w:r>
      <w:r w:rsidR="00B53DE8">
        <w:t>,</w:t>
      </w:r>
      <w:r>
        <w:t xml:space="preserve"> is essential for </w:t>
      </w:r>
      <w:r w:rsidR="00B53DE8">
        <w:t xml:space="preserve">space heat demand reduction and subsequent carbon emissions cut. </w:t>
      </w:r>
      <w:r w:rsidR="007370F7">
        <w:t xml:space="preserve">However, </w:t>
      </w:r>
      <w:r w:rsidR="00B9567C">
        <w:t>buildings</w:t>
      </w:r>
      <w:r w:rsidR="0078339A">
        <w:t xml:space="preserve"> are not being retrofitted</w:t>
      </w:r>
      <w:r w:rsidR="00B53DE8">
        <w:t xml:space="preserve"> at a sufficient speed </w:t>
      </w:r>
      <w:r w:rsidR="00B53DE8" w:rsidRPr="00960B9E">
        <w:t>and depth</w:t>
      </w:r>
      <w:r w:rsidR="007370F7" w:rsidRPr="00960B9E">
        <w:t>, as onl</w:t>
      </w:r>
      <w:r w:rsidR="00B53DE8" w:rsidRPr="00960B9E">
        <w:t xml:space="preserve">y 1% of </w:t>
      </w:r>
      <w:r w:rsidR="00B9567C">
        <w:t xml:space="preserve">the </w:t>
      </w:r>
      <w:r w:rsidR="00B53DE8" w:rsidRPr="00960B9E">
        <w:t xml:space="preserve">total building stock in Europe gets renovated annually </w:t>
      </w:r>
      <w:r w:rsidR="00B53DE8" w:rsidRPr="00960B9E">
        <w:fldChar w:fldCharType="begin" w:fldLock="1"/>
      </w:r>
      <w:r w:rsidR="004671E8" w:rsidRPr="00960B9E">
        <w:instrText>ADDIN CSL_CITATION {"citationItems":[{"id":"ITEM-1","itemData":{"author":[{"dropping-particle":"","family":"Buildings Performance Institute Europe (BPIE)","given":"","non-dropping-particle":"","parse-names":false,"suffix":""}],"id":"ITEM-1","issued":{"date-parts":[["2022"]]},"title":"Report on the evolution of the European regulatory framework for buildings efficiency","type":"report"},"uris":["http://www.mendeley.com/documents/?uuid=451e0d31-66cf-42e4-b7e2-b514dffed0fb"]}],"mendeley":{"formattedCitation":"[1]","plainTextFormattedCitation":"[1]","previouslyFormattedCitation":"[1]"},"properties":{"noteIndex":0},"schema":"https://github.com/citation-style-language/schema/raw/master/csl-citation.json"}</w:instrText>
      </w:r>
      <w:r w:rsidR="00B53DE8" w:rsidRPr="00960B9E">
        <w:fldChar w:fldCharType="separate"/>
      </w:r>
      <w:r w:rsidR="00100C7C" w:rsidRPr="00960B9E">
        <w:rPr>
          <w:noProof/>
        </w:rPr>
        <w:t>[1]</w:t>
      </w:r>
      <w:r w:rsidR="00B53DE8" w:rsidRPr="00960B9E">
        <w:fldChar w:fldCharType="end"/>
      </w:r>
      <w:r w:rsidR="00B53DE8" w:rsidRPr="00960B9E">
        <w:t>.</w:t>
      </w:r>
      <w:r w:rsidR="007370F7" w:rsidRPr="00960B9E">
        <w:t xml:space="preserve"> </w:t>
      </w:r>
      <w:r w:rsidR="003F4E0D">
        <w:t xml:space="preserve">Especially in the residential </w:t>
      </w:r>
      <w:r w:rsidR="007370F7" w:rsidRPr="00960B9E">
        <w:t>sector</w:t>
      </w:r>
      <w:r w:rsidR="003F4E0D">
        <w:t>,</w:t>
      </w:r>
      <w:r w:rsidR="0078339A" w:rsidRPr="00960B9E">
        <w:t xml:space="preserve"> </w:t>
      </w:r>
      <w:r w:rsidR="00960B9E" w:rsidRPr="00960B9E">
        <w:t>it is challenging to design policies that encourage owners’ decisions to renovate.</w:t>
      </w:r>
      <w:r w:rsidR="00275303">
        <w:t xml:space="preserve"> </w:t>
      </w:r>
      <w:r w:rsidR="00275303" w:rsidRPr="00960B9E">
        <w:t xml:space="preserve">The </w:t>
      </w:r>
      <w:r w:rsidR="00275303">
        <w:t>state-of-the-art</w:t>
      </w:r>
      <w:r w:rsidR="00275303" w:rsidRPr="00960B9E">
        <w:t xml:space="preserve"> literature and empirical studies show that both</w:t>
      </w:r>
      <w:r w:rsidR="00B5441A">
        <w:t xml:space="preserve"> monetary and non-monetary </w:t>
      </w:r>
      <w:r w:rsidR="00275303" w:rsidRPr="00960B9E">
        <w:t>barriers exist towards greater uptake of energy efficiency measures among owner-occupiers. While lack of capital and aversion to delayed gains have been known to be important</w:t>
      </w:r>
      <w:r w:rsidR="00B5441A">
        <w:t xml:space="preserve"> </w:t>
      </w:r>
      <w:r w:rsidR="00275303" w:rsidRPr="00960B9E">
        <w:t xml:space="preserve">barriers </w:t>
      </w:r>
      <w:r w:rsidR="00275303" w:rsidRPr="00960B9E">
        <w:fldChar w:fldCharType="begin" w:fldLock="1"/>
      </w:r>
      <w:r w:rsidR="00275303" w:rsidRPr="00960B9E">
        <w:instrText>ADDIN CSL_CITATION {"citationItems":[{"id":"ITEM-1","itemData":{"DOI":"10.1016/j.erss.2015.03.002","ISSN":"22146296","abstract":"Abstract This paper contrasts two perspectives on energy efficient home renovations from applied behavioural research on energy efficiency and from sociological research on homes and domestic life. Applied behavioural research characterises drivers and barriers to cost-effective renovations, and identifies personal and contextual influences on homeowners' renovation decisions. Research findings inform policies to promote energy efficiency by removing barriers or strengthening decision influences. Sociological research on domestic life points to limitations in this understanding of renovation decision making that emphasises houses but not homes, energy efficiency but not home improvements, the one-off but not the everyday, and renovations but not renovating. The paper proposes a situated approach in response to this critique. A situated approach retains a focus on renovation decision making, but conceptualises decisions as processes that emerge from the conditions of everyday domestic life and are subject to different levels of influence. This situated approach is tractable for energy efficiency policy while recognising the ultimate influences that explain why homeowners decide to renovate.","author":[{"dropping-particle":"","family":"Wilson","given":"C.","non-dropping-particle":"","parse-names":false,"suffix":""},{"dropping-particle":"","family":"Crane","given":"L.","non-dropping-particle":"","parse-names":false,"suffix":""},{"dropping-particle":"","family":"Chryssochoidis","given":"G.","non-dropping-particle":"","parse-names":false,"suffix":""}],"container-title":"Energy Research &amp; Social Science","id":"ITEM-1","issued":{"date-parts":[["2015","5","1"]]},"page":"12-22","publisher":"Elsevier Ltd","title":"Why do homeowners renovate energy efficiently? Contrasting perspectives and implications for policy","type":"article-journal","volume":"7"},"uris":["http://www.mendeley.com/documents/?uuid=1ba741b0-3dcb-43fe-b377-c86fc3ddf75d"]}],"mendeley":{"formattedCitation":"[2]","plainTextFormattedCitation":"[2]","previouslyFormattedCitation":"[2]"},"properties":{"noteIndex":0},"schema":"https://github.com/citation-style-language/schema/raw/master/csl-citation.json"}</w:instrText>
      </w:r>
      <w:r w:rsidR="00275303" w:rsidRPr="00960B9E">
        <w:fldChar w:fldCharType="separate"/>
      </w:r>
      <w:r w:rsidR="00275303" w:rsidRPr="00960B9E">
        <w:rPr>
          <w:noProof/>
        </w:rPr>
        <w:t>[2]</w:t>
      </w:r>
      <w:r w:rsidR="00275303" w:rsidRPr="00960B9E">
        <w:fldChar w:fldCharType="end"/>
      </w:r>
      <w:r w:rsidR="00275303" w:rsidRPr="00960B9E">
        <w:t>, recent studies</w:t>
      </w:r>
      <w:r w:rsidR="00275303">
        <w:t xml:space="preserve"> emphasize high </w:t>
      </w:r>
      <w:r w:rsidR="00275303" w:rsidRPr="00960B9E">
        <w:t>non-monetary</w:t>
      </w:r>
      <w:r w:rsidR="00275303">
        <w:t xml:space="preserve"> </w:t>
      </w:r>
      <w:r w:rsidR="00275303" w:rsidRPr="00960B9E">
        <w:t>transaction cost</w:t>
      </w:r>
      <w:r w:rsidR="00275303">
        <w:t>s (e.g.</w:t>
      </w:r>
      <w:r w:rsidR="00275303" w:rsidRPr="00960B9E">
        <w:t xml:space="preserve"> cost of information search, contract negotiations,</w:t>
      </w:r>
      <w:r w:rsidR="00275303">
        <w:t xml:space="preserve"> etc</w:t>
      </w:r>
      <w:r w:rsidR="00523A5A">
        <w:t>.</w:t>
      </w:r>
      <w:r w:rsidR="00275303">
        <w:t>)</w:t>
      </w:r>
      <w:r w:rsidR="00275303" w:rsidRPr="00960B9E">
        <w:t xml:space="preserve"> </w:t>
      </w:r>
      <w:r w:rsidR="00275303">
        <w:t xml:space="preserve">as strong barriers to retrofit uptake </w:t>
      </w:r>
      <w:r w:rsidR="00275303" w:rsidRPr="00960B9E">
        <w:fldChar w:fldCharType="begin" w:fldLock="1"/>
      </w:r>
      <w:r w:rsidR="00523A5A">
        <w:instrText>ADDIN CSL_CITATION {"citationItems":[{"id":"ITEM-1","itemData":{"author":[{"dropping-particle":"","family":"Fowlie","given":"By Meredith","non-dropping-particle":"","parse-names":false,"suffix":""},{"dropping-particle":"","family":"Greenstone","given":"Michael","non-dropping-particle":"","parse-names":false,"suffix":""},{"dropping-particle":"","family":"Wolfram","given":"Catherine","non-dropping-particle":"","parse-names":false,"suffix":""}],"id":"ITEM-1","issue":"5","issued":{"date-parts":[["2015"]]},"page":"201-204","title":"Are the Non-Monetary Costs of Energy Efficiency Investments Large ? Understanding Low Take-up of a Free Energy Efficiency Program †","type":"article-journal","volume":"105"},"uris":["http://www.mendeley.com/documents/?uuid=323fcdc0-b5f7-4c59-9a9b-01921b528cab"]},{"id":"ITEM-2","itemData":{"DOI":"10.1016/J.ENBUILD.2020.109849","ISSN":"0378-7788","abstract":"The renovation of housing stock in the Netherlands has the potential to help achieving the country's climate change targets. However, there are non-monetary Transaction Cost (TC) factors, such as searching for information and finding a reliable professional/contractor, that present barriers to householders when making the decision to renovate or not. This study evaluates the impact of the transaction costs on the renovation decision-making process for two groups of householders, current renovators and potential renovators, and for three types of renovations, exterior renovations, interior renovations, and energy efficiency renovations. The study analyses householder renovation decisions in relation to TC barriers at different stages of the renovation processes. The data was collected from a survey of 3,776 homeowners in the Netherlands. The main identified TC barriers were found to be at the consideration, decision, and execution phases of the renovation decision-making process, and are: finding a reliable professional/contractor to do exterior renovations, determining costs for interior renovations, and finding ways to increase the energy efficiency of the house using energy-saving renovations. The main sources of information for householders are construction stores/Do It Yourself (DIY), installations and maintenance companies for exterior and energy efficiency renovations, while for interior renovations it is construction stores/DIY companies, Internet, and recommendations from family/friends. The findings from this study contribute to more effective management and distribution of both information and financial resources in relation to the renovation of housing stock.","author":[{"dropping-particle":"","family":"Ebrahimigharehbaghi","given":"Shima","non-dropping-particle":"","parse-names":false,"suffix":""},{"dropping-particle":"","family":"Qian","given":"Queena K.","non-dropping-particle":"","parse-names":false,"suffix":""},{"dropping-particle":"","family":"Meijer","given":"Frits M.","non-dropping-particle":"","parse-names":false,"suffix":""},{"dropping-particle":"","family":"Visscher","given":"Henk J.","non-dropping-particle":"","parse-names":false,"suffix":""}],"container-title":"Energy and Buildings","id":"ITEM-2","issued":{"date-parts":[["2020","5","15"]]},"page":"109849","publisher":"Elsevier","title":"Transaction costs as a barrier in the renovation decision-making process: A study of homeowners in the Netherlands","type":"article-journal","volume":"215"},"uris":["http://www.mendeley.com/documents/?uuid=dc993def-d807-3ccc-b7f7-433d3654e223"]},{"id":"ITEM-3","itemData":{"DOI":"10.1016/j.eneco.2022.106327","ISSN":"01409883","abstract":"This study empirically estimated disaggregate market transaction costs facing single-family house-owners when energy renovating their dwelling. Two types of energy renovations are analysed: heat insulation and energy-saving windows. An analytical framework was developed including an adjustment mechanism for time-biases displayed by households. The decision process was modelling in three steps where households can be either latent, potential or actual clients to an energy renovation project. Data was collected by web-based surveys. The transaction costs are estimated based on time assessment, income levels and monetary expenditures occurring in the decision process. The results suggest that the magnitude of the transaction costs can be an important barrier to energy renovations. For energy-saving windows, transaction costs can constitute more than 50% of the investment cost, and almost 24% for heat insulation. The largest potential reduction in the transaction costs is found in the implementation phase.","author":[{"dropping-particle":"","family":"Lundmark","given":"Robert","non-dropping-particle":"","parse-names":false,"suffix":""}],"container-title":"Energy Economics","id":"ITEM-3","issue":"February","issued":{"date-parts":[["2022"]]},"page":"106327","publisher":"Elsevier B.V.","title":"Time-adjusted transaction costs for energy renovations for single-family house-owners","type":"article-journal","volume":"114"},"uris":["http://www.mendeley.com/documents/?uuid=a3cdbf03-be53-4001-b43b-4984a8866087"]}],"mendeley":{"formattedCitation":"[3–5]","plainTextFormattedCitation":"[3–5]","previouslyFormattedCitation":"[3–5]"},"properties":{"noteIndex":0},"schema":"https://github.com/citation-style-language/schema/raw/master/csl-citation.json"}</w:instrText>
      </w:r>
      <w:r w:rsidR="00275303" w:rsidRPr="00960B9E">
        <w:fldChar w:fldCharType="separate"/>
      </w:r>
      <w:r w:rsidR="00275303" w:rsidRPr="00960B9E">
        <w:rPr>
          <w:noProof/>
        </w:rPr>
        <w:t>[3–5]</w:t>
      </w:r>
      <w:r w:rsidR="00275303" w:rsidRPr="00960B9E">
        <w:fldChar w:fldCharType="end"/>
      </w:r>
      <w:r w:rsidR="00275303" w:rsidRPr="00960B9E">
        <w:t>.</w:t>
      </w:r>
      <w:r w:rsidR="00275303">
        <w:t xml:space="preserve"> </w:t>
      </w:r>
      <w:r w:rsidR="00732F68">
        <w:t>This study presents an explorative simulation of</w:t>
      </w:r>
      <w:r w:rsidR="009E16C5">
        <w:t xml:space="preserve"> neighbourhood</w:t>
      </w:r>
      <w:r w:rsidR="00732F68">
        <w:t xml:space="preserve"> retrofit (</w:t>
      </w:r>
      <w:r w:rsidR="00523A5A">
        <w:t>i.e.,</w:t>
      </w:r>
      <w:r w:rsidR="00732F68">
        <w:t xml:space="preserve"> insulation) adoption that accounts for these </w:t>
      </w:r>
      <w:r w:rsidR="00AE0DEC">
        <w:t xml:space="preserve">economic and non-economic </w:t>
      </w:r>
      <w:r w:rsidR="00732F68">
        <w:t>barriers</w:t>
      </w:r>
      <w:r w:rsidR="00AE0DEC">
        <w:t xml:space="preserve"> as well as other important determinants of insulation (</w:t>
      </w:r>
      <w:r w:rsidR="00523A5A">
        <w:t>e.g.,</w:t>
      </w:r>
      <w:r w:rsidR="00AE0DEC">
        <w:t xml:space="preserve"> building age or</w:t>
      </w:r>
      <w:r w:rsidR="00DA3390">
        <w:t xml:space="preserve"> availability of subsidy</w:t>
      </w:r>
      <w:r w:rsidR="00AE0DEC" w:rsidRPr="004C0AA7">
        <w:t>)</w:t>
      </w:r>
      <w:r w:rsidR="00732F68" w:rsidRPr="004C0AA7">
        <w:t>.</w:t>
      </w:r>
      <w:r w:rsidR="00112288" w:rsidRPr="004C0AA7">
        <w:t xml:space="preserve"> The neighborhood level is chosen</w:t>
      </w:r>
      <w:r w:rsidR="00705778" w:rsidRPr="004C0AA7">
        <w:t xml:space="preserve"> as </w:t>
      </w:r>
      <w:r w:rsidR="004C0AA7" w:rsidRPr="004C0AA7">
        <w:t xml:space="preserve">it is an </w:t>
      </w:r>
      <w:r w:rsidR="00705778" w:rsidRPr="004C0AA7">
        <w:t xml:space="preserve">appropriate level for energy concept planning and </w:t>
      </w:r>
      <w:r w:rsidR="000C2899" w:rsidRPr="004C0AA7">
        <w:t>policy</w:t>
      </w:r>
      <w:r w:rsidR="00705778" w:rsidRPr="004C0AA7">
        <w:t xml:space="preserve"> interventions</w:t>
      </w:r>
      <w:r w:rsidR="004C0AA7" w:rsidRPr="004C0AA7">
        <w:t xml:space="preserve"> </w:t>
      </w:r>
      <w:r w:rsidR="004C0AA7" w:rsidRPr="004C0AA7">
        <w:fldChar w:fldCharType="begin" w:fldLock="1"/>
      </w:r>
      <w:r w:rsidR="00B72AA0">
        <w:instrText>ADDIN CSL_CITATION {"citationItems":[{"id":"ITEM-1","itemData":{"DOI":"10.1016/J.ENBUILD.2022.111914","ISSN":"0378-7788","abstract":"In the EU, buildings account for about 40% of the final energy consumption. Space heating (SH) accounts for 65% of the energy demand in buildings. There is thus a large potential in energy savings, simply by focusing on the reduction of space heating demand. In the Netherlands, there are about 6 million residential buildings constructed before 2005 where thermal performance is far from optimal. All these buildings need to reduce their demand as the first step to meet nZEB requirements. For large scale energy retrofit of buildings, the main challenge is to classify each housing type by the severity of the demand reduction. A Dutch district in the city of Apeldoorn has been chosen to investigate the energy-saving potential and the robustness of different retrofit packages. Using a bottom-up approach, the energy-saving potential of the existing building types in the mentioned district was analysed by the parametric study of building energy performance simulations in IES VE. Subsequently, the uncertainty in building (energy) performance was assessed using a minimax regret method to compare the robustness of designs. For the covered building types and construction periods, the results suggest that after the upgrade to insulation level from current regulations, implementation of Heat Recovery Ventilation (HRV) reduces the space heating demand by 50–65% while insulation upgrade to passive house standards on yields an average heat demand reduction of only 15%. In contrast, provided with sufficient ventilation, the results suggest that sufficient ventilation eliminates the demand for space cooling in passive building envelopes (excluding climate change effects). In this regard, detached housing is the most and semi-detached is the least prone to the overheated indoor environment. Relying on natural ventilation as the only source of cooling in the summer increases the risk of overheating. Furthermore, upgrading to the nZEB standard building envelope appears to be around 40–50% less economical (€/unit saved energy) than current requirements for building envelope. Lastly, the results show that packages with HRV are about twice as robust as packages without HRV thus highlighting its optimal cost.","author":[{"dropping-particle":"","family":"Alavirad","given":"Soheil","non-dropping-particle":"","parse-names":false,"suffix":""},{"dropping-particle":"","family":"Mohammadi","given":"Saleh","non-dropping-particle":"","parse-names":false,"suffix":""},{"dropping-particle":"","family":"Hoes","given":"Pieter Jan","non-dropping-particle":"","parse-names":false,"suffix":""},{"dropping-particle":"","family":"Xu","given":"Luyi","non-dropping-particle":"","parse-names":false,"suffix":""},{"dropping-particle":"","family":"Hensen","given":"Jan L.M.","non-dropping-particle":"","parse-names":false,"suffix":""}],"container-title":"Energy and Buildings","id":"ITEM-1","issued":{"date-parts":[["2022","4","1"]]},"page":"111914","publisher":"Elsevier","title":"Future-Proof Energy-Retrofit strategy for an existing Dutch neighbourhood","type":"article-journal","volume":"260"},"uris":["http://www.mendeley.com/documents/?uuid=11592fa7-e6d3-35e5-b0c2-7f7cedb6963f"]},{"id":"ITEM-2","itemData":{"DOI":"10.1016/j.scs.2021.103037","ISSN":"22106707","abstract":"Renovation at district scale is a key strategy to reduce CO2 emissions by optimising the implementation of renewable energy sources and taking advantage of economy of scale. This paper focuses on analysing good practice examples on energy renovations at district scale. The paper adapts a qualitative research methodology in four phases, including the multi-perspective analysis of nine exemplary renovation projects in six European countries, including identification of drivers and barriers of different stakeholders. It is found that the drivers for a district renovation are not restricted to energy savings, but typically also include improving the overall quality of life as well as the image and economic value of a district. Moreover, the need for financial models that can alleviate split-incentive problems between investors and resident organizations is identified. Barriers for carrying out a district renovation include that there is a need to comply with energy standards, that the renovation scope had to be limited to avoid a noticeable rent increase and that resettling of tenants during the renovation is often not possible. Lessons learned include that good communication amongst the different stakeholders, especially with residents, plays a key role for the success of the project. Furthermore, a strong leadership is needed to coordinate activities due to the great number of stakeholders.","author":[{"dropping-particle":"","family":"Rose","given":"Jørgen","non-dropping-particle":"","parse-names":false,"suffix":""},{"dropping-particle":"","family":"Thomsen","given":"Kirsten Engelund","non-dropping-particle":"","parse-names":false,"suffix":""},{"dropping-particle":"","family":"Domingo-Irigoyen","given":"Silvia","non-dropping-particle":"","parse-names":false,"suffix":""},{"dropping-particle":"","family":"Bolliger","given":"Roman","non-dropping-particle":"","parse-names":false,"suffix":""},{"dropping-particle":"","family":"Venus","given":"David","non-dropping-particle":"","parse-names":false,"suffix":""},{"dropping-particle":"","family":"Konstantinou","given":"Thaleia","non-dropping-particle":"","parse-names":false,"suffix":""},{"dropping-particle":"","family":"Mlecnik","given":"Erwin","non-dropping-particle":"","parse-names":false,"suffix":""},{"dropping-particle":"","family":"Almeida","given":"Manuela","non-dropping-particle":"","parse-names":false,"suffix":""},{"dropping-particle":"","family":"Barbosa","given":"Ricardo","non-dropping-particle":"","parse-names":false,"suffix":""},{"dropping-particle":"","family":"Terés-Zubiaga","given":"Jon","non-dropping-particle":"","parse-names":false,"suffix":""},{"dropping-particle":"","family":"Johansson","given":"Erik","non-dropping-particle":"","parse-names":false,"suffix":""},{"dropping-particle":"","family":"Davidsson","given":"Henrik","non-dropping-particle":"","parse-names":false,"suffix":""},{"dropping-particle":"","family":"Conci","given":"Mira","non-dropping-particle":"","parse-names":false,"suffix":""},{"dropping-particle":"","family":"Mora","given":"Tiziano Dalla","non-dropping-particle":"","parse-names":false,"suffix":""},{"dropping-particle":"","family":"Ferrari","given":"Simone","non-dropping-particle":"","parse-names":false,"suffix":""},{"dropping-particle":"","family":"Zagarella","given":"Federica","non-dropping-particle":"","parse-names":false,"suffix":""},{"dropping-particle":"","family":"Sanchez Ostiz","given":"Ana","non-dropping-particle":"","parse-names":false,"suffix":""},{"dropping-particle":"","family":"San Miguel-Bellod","given":"Jorge","non-dropping-particle":"","parse-names":false,"suffix":""},{"dropping-particle":"","family":"Monge-Barrio","given":"Aurora","non-dropping-particle":"","parse-names":false,"suffix":""},{"dropping-particle":"","family":"Hidalgo-Betanzos","given":"Juan Maria","non-dropping-particle":"","parse-names":false,"suffix":""}],"container-title":"Sustainable Cities and Society","id":"ITEM-2","issue":"May","issued":{"date-parts":[["2021"]]},"title":"Building renovation at district level – Lessons learned from international case studies","type":"article-journal","volume":"72"},"uris":["http://www.mendeley.com/documents/?uuid=9bab0ac4-6ab6-495e-9712-65b5ee54cbb7"]}],"mendeley":{"formattedCitation":"[6,7]","plainTextFormattedCitation":"[6,7]","previouslyFormattedCitation":"[6,7]"},"properties":{"noteIndex":0},"schema":"https://github.com/citation-style-language/schema/raw/master/csl-citation.json"}</w:instrText>
      </w:r>
      <w:r w:rsidR="004C0AA7" w:rsidRPr="004C0AA7">
        <w:fldChar w:fldCharType="separate"/>
      </w:r>
      <w:r w:rsidR="004C0AA7" w:rsidRPr="004C0AA7">
        <w:rPr>
          <w:noProof/>
        </w:rPr>
        <w:t>[6,7]</w:t>
      </w:r>
      <w:r w:rsidR="004C0AA7" w:rsidRPr="004C0AA7">
        <w:fldChar w:fldCharType="end"/>
      </w:r>
      <w:r w:rsidR="00112288" w:rsidRPr="004C0AA7">
        <w:t xml:space="preserve">. </w:t>
      </w:r>
      <w:r w:rsidR="00523A5A" w:rsidRPr="004C0AA7">
        <w:t>The</w:t>
      </w:r>
      <w:r w:rsidR="00523A5A">
        <w:t xml:space="preserve"> e</w:t>
      </w:r>
      <w:r w:rsidR="00AE0DEC">
        <w:t>ffect</w:t>
      </w:r>
      <w:r w:rsidR="00523A5A">
        <w:t>s</w:t>
      </w:r>
      <w:r w:rsidR="00AE0DEC">
        <w:t xml:space="preserve"> of </w:t>
      </w:r>
      <w:r w:rsidR="004C0AA7">
        <w:t>possible</w:t>
      </w:r>
      <w:r w:rsidR="00AE0DEC">
        <w:t xml:space="preserve"> policy strategies </w:t>
      </w:r>
      <w:r w:rsidR="007C5441">
        <w:t xml:space="preserve">and social influence </w:t>
      </w:r>
      <w:r w:rsidR="004C0AA7">
        <w:t xml:space="preserve">on the uptake levels </w:t>
      </w:r>
      <w:r w:rsidR="00AE0DEC">
        <w:t>will be simulated and discussed. The unique contribution of this work is in bringing</w:t>
      </w:r>
      <w:r w:rsidR="007C5441">
        <w:t xml:space="preserve"> together the</w:t>
      </w:r>
      <w:r w:rsidR="00AE0DEC">
        <w:t xml:space="preserve"> findings </w:t>
      </w:r>
      <w:r w:rsidR="007C5441">
        <w:t>from</w:t>
      </w:r>
      <w:r w:rsidR="00AE0DEC">
        <w:t xml:space="preserve"> social </w:t>
      </w:r>
      <w:r w:rsidR="007C5441">
        <w:t xml:space="preserve">scientific studies into a quantitative model as a first step in </w:t>
      </w:r>
      <w:r w:rsidR="009E16C5">
        <w:t xml:space="preserve">developing </w:t>
      </w:r>
      <w:r w:rsidR="007C5441">
        <w:t>a multi-disciplinary policy support tool.</w:t>
      </w:r>
    </w:p>
    <w:p w14:paraId="0AEC968D" w14:textId="77777777" w:rsidR="00DC69F1" w:rsidRDefault="00DC69F1" w:rsidP="00DC69F1">
      <w:pPr>
        <w:pStyle w:val="Titolo2"/>
        <w:rPr>
          <w:i w:val="0"/>
          <w:sz w:val="24"/>
          <w:szCs w:val="24"/>
        </w:rPr>
      </w:pPr>
      <w:r w:rsidRPr="00D767DA">
        <w:rPr>
          <w:i w:val="0"/>
          <w:sz w:val="24"/>
          <w:szCs w:val="24"/>
        </w:rPr>
        <w:t>Methods</w:t>
      </w:r>
    </w:p>
    <w:p w14:paraId="57B75143" w14:textId="6052ACBB" w:rsidR="00523A5A" w:rsidRDefault="00523A5A" w:rsidP="00523A5A">
      <w:pPr>
        <w:spacing w:after="200"/>
      </w:pPr>
      <w:bookmarkStart w:id="1" w:name="_Hlk73303913"/>
      <w:r>
        <w:t>An agent-based model (</w:t>
      </w:r>
      <w:r w:rsidRPr="00863958">
        <w:t>ABM</w:t>
      </w:r>
      <w:r>
        <w:t xml:space="preserve">) is a </w:t>
      </w:r>
      <w:r w:rsidRPr="00863958">
        <w:t>computer simulation of an artificial world populated by agents – discrete decision-making entities (</w:t>
      </w:r>
      <w:r>
        <w:t xml:space="preserve">e.g., </w:t>
      </w:r>
      <w:r w:rsidRPr="00863958">
        <w:t>individual</w:t>
      </w:r>
      <w:r>
        <w:t>s</w:t>
      </w:r>
      <w:r w:rsidRPr="00863958">
        <w:t>, household</w:t>
      </w:r>
      <w:r>
        <w:t>s</w:t>
      </w:r>
      <w:r w:rsidRPr="00863958">
        <w:t>, firm</w:t>
      </w:r>
      <w:r>
        <w:t>s</w:t>
      </w:r>
      <w:r w:rsidRPr="00863958">
        <w:t>)</w:t>
      </w:r>
      <w:r>
        <w:t>.</w:t>
      </w:r>
      <w:bookmarkStart w:id="2" w:name="_Hlk73303939"/>
      <w:bookmarkEnd w:id="1"/>
      <w:r>
        <w:t xml:space="preserve"> Its advantage over</w:t>
      </w:r>
      <w:r w:rsidRPr="00523A5A">
        <w:t xml:space="preserve"> traditional equation-based modelling approaches in energy systems analysis (i.e., system dynamics, optimisation models, computable general equilibrium models) is its ability to incorporate heterogeneity and adaptivity of </w:t>
      </w:r>
      <w:r>
        <w:t xml:space="preserve">the agents </w:t>
      </w:r>
      <w:r>
        <w:fldChar w:fldCharType="begin" w:fldLock="1"/>
      </w:r>
      <w:r w:rsidR="00B72AA0">
        <w:instrText>ADDIN CSL_CITATION {"citationItems":[{"id":"ITEM-1","itemData":{"DOI":"10.1016/j.eneco.2008.01.003","ISSN":"01409883","abstract":"The complexity of electricity markets calls for rich and flexible modeling techniques that help to understand market dynamics and to derive advice for the design of appropriate regulatory frameworks. Agent-Based Computational Economics (ACE) is a fairly young research paradigm that offers methods for realistic electricity market modeling. A growing number of researchers have developed agent-based models for simulating electricity markets. The diversity of approaches makes it difficult to overview the field of ACE electricity research; this literature survey should guide the way through and describe the state-of-the-art of this research area. In a conclusive summary, shortcomings of existing approaches and open issues that should be addressed by ACE electricity researchers are critically discussed. © 2008 Elsevier B.V. All rights reserved.","author":[{"dropping-particle":"","family":"Weidlich","given":"Anke","non-dropping-particle":"","parse-names":false,"suffix":""},{"dropping-particle":"","family":"Veit","given":"Daniel","non-dropping-particle":"","parse-names":false,"suffix":""}],"container-title":"Energy Economics","id":"ITEM-1","issue":"4","issued":{"date-parts":[["2008"]]},"page":"1728-1759","title":"A critical survey of agent-based wholesale electricity market models","type":"article-journal","volume":"30"},"uris":["http://www.mendeley.com/documents/?uuid=8557df02-e81f-4010-8c40-22b65f690bfb"]}],"mendeley":{"formattedCitation":"[8]","plainTextFormattedCitation":"[8]","previouslyFormattedCitation":"[8]"},"properties":{"noteIndex":0},"schema":"https://github.com/citation-style-language/schema/raw/master/csl-citation.json"}</w:instrText>
      </w:r>
      <w:r>
        <w:fldChar w:fldCharType="separate"/>
      </w:r>
      <w:r w:rsidR="004C0AA7" w:rsidRPr="004C0AA7">
        <w:rPr>
          <w:noProof/>
        </w:rPr>
        <w:t>[8]</w:t>
      </w:r>
      <w:r>
        <w:fldChar w:fldCharType="end"/>
      </w:r>
      <w:r>
        <w:t>, which steps outside the microeconomic assumption of the representative economic agent</w:t>
      </w:r>
      <w:r w:rsidRPr="00523A5A">
        <w:t>.</w:t>
      </w:r>
      <w:bookmarkEnd w:id="2"/>
      <w:r>
        <w:t xml:space="preserve"> Moreover, it </w:t>
      </w:r>
      <w:r w:rsidR="00DA3390">
        <w:t>can</w:t>
      </w:r>
      <w:r>
        <w:t xml:space="preserve"> show how macro-level patterns emerge from micro-level decisions of agents </w:t>
      </w:r>
      <w:r>
        <w:fldChar w:fldCharType="begin" w:fldLock="1"/>
      </w:r>
      <w:r w:rsidR="00B72AA0">
        <w:instrText>ADDIN CSL_CITATION {"citationItems":[{"id":"ITEM-1","itemData":{"DOI":"10.1007/s10100-011-0210-y","ISSN":"1435246X","abstract":"Mathematical modeling of innovation diffusion has attracted strong academic interest since the early 1960s. Traditional diffusion models have aimed at empirical generalizations and hence describe the spread of new products parsimoniously at the market level. More recently, agent-based modeling and simulation has increasingly been adopted since it operates on the individual level and, thus, can capture complex emergent phenomena highly relevant in diffusion research. Agent-based methods have been applied in this context both as intuition aids that facilitate theory-building and as tools to analyze real-world scenarios, support management decisions and obtain policy recommendations. This review addresses both streams of research. We critically examine the strengths and limitations of agent-based modeling in the context of innovation diffusion, discuss new insights agent-based models have provided, and outline promising opportunities for future research. The target audience of the paper includes both researchers in marketing interested in new findings from the agent-based modeling literature and researchers who intend to implement agent-based models for their own research endeavors. Accordingly, we also cover pivotal modeling aspects in depth (concerning, e. g., consumer adoption behavior and social influence) and outline existing models in sufficient detail to provide a proper entry point for researchers new to the field. © 2011 Springer-Verlag.","author":[{"dropping-particle":"","family":"Kiesling","given":"Elmar","non-dropping-particle":"","parse-names":false,"suffix":""},{"dropping-particle":"","family":"Günther","given":"Markus","non-dropping-particle":"","parse-names":false,"suffix":""},{"dropping-particle":"","family":"Stummer","given":"Christian","non-dropping-particle":"","parse-names":false,"suffix":""},{"dropping-particle":"","family":"Wakolbinger","given":"Lea M.","non-dropping-particle":"","parse-names":false,"suffix":""}],"container-title":"Central European Journal of Operations Research","id":"ITEM-1","issue":"2","issued":{"date-parts":[["2012"]]},"page":"183-230","title":"Agent-based simulation of innovation diffusion: A review","type":"article-journal","volume":"20"},"uris":["http://www.mendeley.com/documents/?uuid=5dc5d999-6caf-4d60-84d7-32d487c5a08b"]}],"mendeley":{"formattedCitation":"[9]","plainTextFormattedCitation":"[9]","previouslyFormattedCitation":"[9]"},"properties":{"noteIndex":0},"schema":"https://github.com/citation-style-language/schema/raw/master/csl-citation.json"}</w:instrText>
      </w:r>
      <w:r>
        <w:fldChar w:fldCharType="separate"/>
      </w:r>
      <w:r w:rsidR="004C0AA7" w:rsidRPr="004C0AA7">
        <w:rPr>
          <w:noProof/>
        </w:rPr>
        <w:t>[9]</w:t>
      </w:r>
      <w:r>
        <w:fldChar w:fldCharType="end"/>
      </w:r>
      <w:r>
        <w:t xml:space="preserve">. </w:t>
      </w:r>
      <w:r w:rsidR="00920114">
        <w:t xml:space="preserve">The application of agent-based modelling (ABM) in policy and planning of energy transition is particularly valuable, as it can inform decision-making and addresses the issues of interdisciplinarity and participation </w:t>
      </w:r>
      <w:r w:rsidR="00920114">
        <w:fldChar w:fldCharType="begin" w:fldLock="1"/>
      </w:r>
      <w:r w:rsidR="00B72AA0">
        <w:instrText>ADDIN CSL_CITATION {"citationItems":[{"id":"ITEM-1","itemData":{"DOI":"10.1016/j.erss.2018.10.021","ISSN":"22146296","abstract":"Agent-based modelling has the potential to provide insight into complex energy transition dynamics. Despite a recent emphasis of research on agent-based modelling and on energy transitions, an overview of how the methodology may be of value to understanding transition processes is still missing from the literature. This systematic review evaluates the potential of agent-based modelling to understanding energy transitions from a social-scientific perspective, based on a set of 62 articles. Six topic areas were identified, addressing different components of the energy system: Electricity Market, Consumption Dynamics/ Consumer Behaviour, Policy and Planning, New Technologies/ Innovation, Energy System, Transitions. Distribution of articles across topic areas was indicative of a continuing interest in electricity market related enquiries, and an increasing number of studies in the realm of policy and planning. Based on the relevance of energy transition specific complexities to the choice of ABM as a methodology, four complexity categories (1–4) were identified. Indicating the degree of association between the complexity of energy transitions and ABM's ability to address these, the categorisation revealed that 35 of the 62 studies directly linked the choice of ABM to energy transition complexities (complexity category 1) or were set in the context of energy transitions (complexity category 2). The review further showed that the greatest potential contribution of ABM to energy transition studies lies in its practical application to decision-making in policy and planning. More interdisciplinary collaboration in model development is recommended to address the discrepancy between the relevance of social factors to modelling energy transitions and the ability of the social sciences to make effective use of ABM.","author":[{"dropping-particle":"","family":"Hansen","given":"Paula","non-dropping-particle":"","parse-names":false,"suffix":""},{"dropping-particle":"","family":"Liu","given":"Xin","non-dropping-particle":"","parse-names":false,"suffix":""},{"dropping-particle":"","family":"Morrison","given":"Gregory M.","non-dropping-particle":"","parse-names":false,"suffix":""}],"container-title":"Energy Research and Social Science","id":"ITEM-1","issue":"June 2018","issued":{"date-parts":[["2019"]]},"page":"41-52","publisher":"Elsevier","title":"Agent-based modelling and socio-technical energy transitions: A systematic literature review","type":"article-journal","volume":"49"},"uris":["http://www.mendeley.com/documents/?uuid=f8f733e1-fc77-4977-8647-45d6aac7a889"]}],"mendeley":{"formattedCitation":"[10]","plainTextFormattedCitation":"[10]","previouslyFormattedCitation":"[10]"},"properties":{"noteIndex":0},"schema":"https://github.com/citation-style-language/schema/raw/master/csl-citation.json"}</w:instrText>
      </w:r>
      <w:r w:rsidR="00920114">
        <w:fldChar w:fldCharType="separate"/>
      </w:r>
      <w:r w:rsidR="004C0AA7" w:rsidRPr="004C0AA7">
        <w:rPr>
          <w:noProof/>
        </w:rPr>
        <w:t>[10]</w:t>
      </w:r>
      <w:r w:rsidR="00920114">
        <w:fldChar w:fldCharType="end"/>
      </w:r>
      <w:r w:rsidR="00920114">
        <w:t>.</w:t>
      </w:r>
      <w:r>
        <w:t xml:space="preserve"> One of the most established approaches in ABM is the technology or innovation diffusion ABMs,</w:t>
      </w:r>
      <w:r w:rsidR="00732F68">
        <w:t xml:space="preserve"> </w:t>
      </w:r>
      <w:r>
        <w:t xml:space="preserve">where </w:t>
      </w:r>
      <w:r w:rsidRPr="00523A5A">
        <w:t>agents decide to adopt or not adopt (i.e., to invest or not invest in a certain technology or to perform a certain energy-related action) based on specific rules or algorithms</w:t>
      </w:r>
      <w:r>
        <w:t xml:space="preserve"> </w:t>
      </w:r>
      <w:r>
        <w:fldChar w:fldCharType="begin" w:fldLock="1"/>
      </w:r>
      <w:r w:rsidR="00B72AA0">
        <w:instrText>ADDIN CSL_CITATION {"citationItems":[{"id":"ITEM-1","itemData":{"author":[{"dropping-particle":"","family":"Akhatova","given":"Ardak","non-dropping-particle":"","parse-names":false,"suffix":""},{"dropping-particle":"","family":"Kranzl","given":"Lukas","non-dropping-particle":"","parse-names":false,"suffix":""},{"dropping-particle":"","family":"Schipfer","given":"Fabian","non-dropping-particle":"","parse-names":false,"suffix":""},{"dropping-particle":"","family":"Heendeniya","given":"Charitha Buddhika","non-dropping-particle":"","parse-names":false,"suffix":""}],"id":"ITEM-1","issued":{"date-parts":[["2021"]]},"title":"Agent-based modelling of urban and district energy systems – A systematic literature review","type":"report"},"uris":["http://www.mendeley.com/documents/?uuid=08423fe4-194f-42c5-a50c-e86550b622b2"]}],"mendeley":{"formattedCitation":"[11]","plainTextFormattedCitation":"[11]","previouslyFormattedCitation":"[11]"},"properties":{"noteIndex":0},"schema":"https://github.com/citation-style-language/schema/raw/master/csl-citation.json"}</w:instrText>
      </w:r>
      <w:r>
        <w:fldChar w:fldCharType="separate"/>
      </w:r>
      <w:r w:rsidR="004C0AA7" w:rsidRPr="004C0AA7">
        <w:rPr>
          <w:noProof/>
        </w:rPr>
        <w:t>[11]</w:t>
      </w:r>
      <w:r>
        <w:fldChar w:fldCharType="end"/>
      </w:r>
      <w:r w:rsidRPr="00523A5A">
        <w:t>.</w:t>
      </w:r>
      <w:r>
        <w:t xml:space="preserve"> </w:t>
      </w:r>
    </w:p>
    <w:p w14:paraId="53F799D4" w14:textId="5A08F98E" w:rsidR="00523A5A" w:rsidRDefault="001C2FE2" w:rsidP="009708C5">
      <w:pPr>
        <w:spacing w:after="200"/>
      </w:pPr>
      <w:r>
        <w:t>T</w:t>
      </w:r>
      <w:r w:rsidR="00523A5A">
        <w:t xml:space="preserve">he rules for an agent </w:t>
      </w:r>
      <w:r w:rsidR="009E16C5">
        <w:t xml:space="preserve">in the ABM </w:t>
      </w:r>
      <w:r w:rsidR="00523A5A">
        <w:t xml:space="preserve">adopting or not adopting </w:t>
      </w:r>
      <w:r w:rsidR="00DA3390">
        <w:t xml:space="preserve">one of the </w:t>
      </w:r>
      <w:r w:rsidR="00523A5A">
        <w:t>insulation measures of various thicknesses (10 cm, 15 cm, 20 cm) are defined</w:t>
      </w:r>
      <w:r w:rsidR="00B72AA0">
        <w:t xml:space="preserve"> in this work</w:t>
      </w:r>
      <w:r w:rsidR="00523A5A">
        <w:t xml:space="preserve">. These rules are based on the agents’ heterogeneous parameters (attitude towards renovation, owned building’s age and renovation status, disposable income) and the external factors, such as availability of a subsidy or </w:t>
      </w:r>
      <w:r w:rsidR="009708C5">
        <w:t>one-stop shops</w:t>
      </w:r>
      <w:r w:rsidR="00523A5A">
        <w:t>, and experience and skills o</w:t>
      </w:r>
      <w:r w:rsidR="009708C5">
        <w:t>f</w:t>
      </w:r>
      <w:r w:rsidR="00523A5A">
        <w:t xml:space="preserve"> retrofit providers.</w:t>
      </w:r>
      <w:r w:rsidR="009708C5">
        <w:t xml:space="preserve"> In a timestep representing 6 months, e</w:t>
      </w:r>
      <w:r w:rsidR="00523A5A">
        <w:t>ach agent goes through a multi-stage decision process,</w:t>
      </w:r>
      <w:r w:rsidR="009708C5">
        <w:t xml:space="preserve"> which incorporates the effect of the barriers identified from the literature and empirical findings. The adopters’ new attitude will change </w:t>
      </w:r>
      <w:r w:rsidR="006B015A">
        <w:t>after the implementation and</w:t>
      </w:r>
      <w:r w:rsidR="009708C5">
        <w:t xml:space="preserve"> the adopters “disseminate” their feedback for retrofit by influencing other agents’ attitude via an opinion dynamics model </w:t>
      </w:r>
      <w:r w:rsidR="009708C5">
        <w:fldChar w:fldCharType="begin" w:fldLock="1"/>
      </w:r>
      <w:r w:rsidR="00B72AA0">
        <w:instrText>ADDIN CSL_CITATION {"citationItems":[{"id":"ITEM-1","itemData":{"DOI":"10.1142/s0219525900000078","ISSN":"0219-5259","abstract":"We present a model of opinion dynamics in which agents adjust continuous opinions as a result of random binary encounters whenever their difference in opinion is below a given threshold. High thresholds yield convergence of opinions towards an average opinion, whereas low thresholds result in several opinion clusters: members of the same cluster share the same opinion but are no longer influenced by members of other clusters.","author":[{"dropping-particle":"","family":"Deffuant","given":"Guillaume","non-dropping-particle":"","parse-names":false,"suffix":""},{"dropping-particle":"","family":"Neau","given":"David","non-dropping-particle":"","parse-names":false,"suffix":""},{"dropping-particle":"","family":"Amblard","given":"Frederic","non-dropping-particle":"","parse-names":false,"suffix":""},{"dropping-particle":"","family":"Weisbuch","given":"Gérard","non-dropping-particle":"","parse-names":false,"suffix":""}],"container-title":"Advances in Complex Systems","id":"ITEM-1","issue":"01n04","issued":{"date-parts":[["2000"]]},"page":"87-98","title":"Mixing beliefs among interacting agents","type":"article-journal","volume":"03"},"uris":["http://www.mendeley.com/documents/?uuid=d11830bf-9961-4160-a5b3-acf16917c3ca"]}],"mendeley":{"formattedCitation":"[13]","plainTextFormattedCitation":"[13]","previouslyFormattedCitation":"[12]"},"properties":{"noteIndex":0},"schema":"https://github.com/citation-style-language/schema/raw/master/csl-citation.json"}</w:instrText>
      </w:r>
      <w:r w:rsidR="009708C5">
        <w:fldChar w:fldCharType="separate"/>
      </w:r>
      <w:r w:rsidR="00B72AA0" w:rsidRPr="00B72AA0">
        <w:rPr>
          <w:noProof/>
        </w:rPr>
        <w:t>[13]</w:t>
      </w:r>
      <w:r w:rsidR="009708C5">
        <w:fldChar w:fldCharType="end"/>
      </w:r>
      <w:r w:rsidR="009708C5">
        <w:t xml:space="preserve">. After several timesteps (e.g., 6 timesteps = 3 years), the simulation ends and the number of adopters and non-adopters, the type of adopted measures, costs of renovation, local emission savings due to energy demand reduction </w:t>
      </w:r>
      <w:r w:rsidR="00921AE3">
        <w:t xml:space="preserve">in this simulated scenario </w:t>
      </w:r>
      <w:r w:rsidR="009708C5">
        <w:t>are known.</w:t>
      </w:r>
      <w:r w:rsidR="00DA3390">
        <w:t xml:space="preserve"> </w:t>
      </w:r>
      <w:r w:rsidR="00DA3390">
        <w:fldChar w:fldCharType="begin"/>
      </w:r>
      <w:r w:rsidR="00DA3390">
        <w:instrText xml:space="preserve"> REF _Ref131149291 \h </w:instrText>
      </w:r>
      <w:r w:rsidR="00DA3390">
        <w:fldChar w:fldCharType="separate"/>
      </w:r>
      <w:r w:rsidR="00DA3390">
        <w:t xml:space="preserve">Figure </w:t>
      </w:r>
      <w:r w:rsidR="00DA3390">
        <w:rPr>
          <w:noProof/>
        </w:rPr>
        <w:t>1</w:t>
      </w:r>
      <w:r w:rsidR="00DA3390">
        <w:fldChar w:fldCharType="end"/>
      </w:r>
      <w:r w:rsidR="00112288">
        <w:t xml:space="preserve"> depicts the flowchart of the simulation. </w:t>
      </w:r>
    </w:p>
    <w:p w14:paraId="3C916EB3" w14:textId="3E362941" w:rsidR="008E4EDB" w:rsidRDefault="008E4EDB" w:rsidP="008E4EDB">
      <w:pPr>
        <w:pStyle w:val="Titolo2"/>
        <w:rPr>
          <w:i w:val="0"/>
          <w:sz w:val="24"/>
          <w:szCs w:val="24"/>
        </w:rPr>
      </w:pPr>
      <w:r w:rsidRPr="00D767DA">
        <w:rPr>
          <w:i w:val="0"/>
          <w:sz w:val="24"/>
          <w:szCs w:val="24"/>
        </w:rPr>
        <w:t>Results</w:t>
      </w:r>
      <w:r w:rsidR="00CD416A">
        <w:rPr>
          <w:i w:val="0"/>
          <w:sz w:val="24"/>
          <w:szCs w:val="24"/>
        </w:rPr>
        <w:t xml:space="preserve"> </w:t>
      </w:r>
    </w:p>
    <w:p w14:paraId="061CCFD8" w14:textId="7BC8C3A9" w:rsidR="009708C5" w:rsidRPr="00103DDA" w:rsidRDefault="009708C5" w:rsidP="00523A5A">
      <w:pPr>
        <w:spacing w:after="200"/>
      </w:pPr>
      <w:r>
        <w:t xml:space="preserve">The results will </w:t>
      </w:r>
      <w:r w:rsidR="00921AE3">
        <w:t xml:space="preserve">show several scenarios of neighbourhood renovation for </w:t>
      </w:r>
      <w:r w:rsidR="001C2FE2">
        <w:t xml:space="preserve">a generic residential neighbourhood in the Netherlands with building archetypes </w:t>
      </w:r>
      <w:r w:rsidR="008C4105">
        <w:t xml:space="preserve">from </w:t>
      </w:r>
      <w:r w:rsidR="001C2FE2">
        <w:t xml:space="preserve">Tabula Episcope </w:t>
      </w:r>
      <w:r w:rsidR="001C2FE2">
        <w:fldChar w:fldCharType="begin" w:fldLock="1"/>
      </w:r>
      <w:r w:rsidR="001C2FE2">
        <w:instrText>ADDIN CSL_CITATION {"citationItems":[{"id":"ITEM-1","itemData":{"ISBN":"9783941140141","abstract":"The present study examines the experiences with building typologies in the European countries. The objective is to learn how to structure the variety of energy-related features of existing build- ings. As a result of the enquiry it can be stated that there are a lot of different activities which are based on typological criteria. Some of them are concentrating on providing information material and conducting energy advice. On the other hand, building types are used for a better understand- ing of the energy performance of building portfolios on different levels: from the strategic planning of housing companies up to the evaluation of national policies and measures in the building sector. On the basis of these experiences a common approach for building typologies has been devel- oped. The core elements of this harmonised approach are a classification systematic, a structure for building and supply system data and a coherent energy balance method. Furthermore a uni- form classification of statistical data enables a concerted approach for designing national building stock models. Finally, a concise itinerary is described which allows experts to develop step by step a national or regional building typology which are compatible with the common TABULA approach.","author":[{"dropping-particle":"","family":"Despretz","given":"Hubert","non-dropping-particle":"","parse-names":false,"suffix":""},{"dropping-particle":"","family":"Hanratty","given":"Michael","non-dropping-particle":"","parse-names":false,"suffix":""}],"container-title":"Building","id":"ITEM-1","issue":"June 2009","issued":{"date-parts":[["2012"]]},"title":"Use of Building Typologies for Energy Performance Assessment of National Building Stocks . Existent Experiences in European Countries and Common Approach","type":"book"},"uris":["http://www.mendeley.com/documents/?uuid=389725fc-23f4-4040-bc40-0325d3a0396f"]}],"mendeley":{"formattedCitation":"[12]","plainTextFormattedCitation":"[12]"},"properties":{"noteIndex":0},"schema":"https://github.com/citation-style-language/schema/raw/master/csl-citation.json"}</w:instrText>
      </w:r>
      <w:r w:rsidR="001C2FE2">
        <w:fldChar w:fldCharType="separate"/>
      </w:r>
      <w:r w:rsidR="001C2FE2" w:rsidRPr="00B72AA0">
        <w:rPr>
          <w:noProof/>
        </w:rPr>
        <w:t>[12]</w:t>
      </w:r>
      <w:r w:rsidR="001C2FE2">
        <w:fldChar w:fldCharType="end"/>
      </w:r>
      <w:r w:rsidR="001C2FE2">
        <w:t>.</w:t>
      </w:r>
      <w:r w:rsidR="008C4105">
        <w:t xml:space="preserve"> The scenarios include (but not limited to) such policy approaches as implementing one-stop-shops to reduce the transaction costs and organizing common purchase of retrofitting services.</w:t>
      </w:r>
      <w:r w:rsidR="001C2FE2">
        <w:t xml:space="preserve"> </w:t>
      </w:r>
      <w:r w:rsidR="008C4105">
        <w:t>T</w:t>
      </w:r>
      <w:r>
        <w:t>he sensitivity analys</w:t>
      </w:r>
      <w:r w:rsidR="008C4105">
        <w:t>e</w:t>
      </w:r>
      <w:r>
        <w:t>s</w:t>
      </w:r>
      <w:r w:rsidR="00112288">
        <w:t xml:space="preserve"> with regard to the</w:t>
      </w:r>
      <w:r>
        <w:t xml:space="preserve"> key variables of the model</w:t>
      </w:r>
      <w:r w:rsidR="00DA3390">
        <w:t xml:space="preserve">, such as gas and electricity prices, agent’s attitude towards renovation, </w:t>
      </w:r>
      <w:r w:rsidR="00112288">
        <w:t>will be presented</w:t>
      </w:r>
      <w:r w:rsidR="00DA3390">
        <w:t xml:space="preserve">. </w:t>
      </w:r>
    </w:p>
    <w:p w14:paraId="7C19E901" w14:textId="6A1A0125" w:rsidR="009708C5" w:rsidRDefault="00DA3390" w:rsidP="00DA3390">
      <w:pPr>
        <w:keepNext/>
        <w:jc w:val="center"/>
      </w:pPr>
      <w:r>
        <w:rPr>
          <w:noProof/>
          <w:lang w:val="it-IT" w:eastAsia="it-IT"/>
        </w:rPr>
        <w:lastRenderedPageBreak/>
        <w:drawing>
          <wp:inline distT="0" distB="0" distL="0" distR="0" wp14:anchorId="2248B8AF" wp14:editId="4CCC6EE6">
            <wp:extent cx="4070388" cy="2963646"/>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80495" cy="2971005"/>
                    </a:xfrm>
                    <a:prstGeom prst="rect">
                      <a:avLst/>
                    </a:prstGeom>
                    <a:noFill/>
                    <a:ln>
                      <a:noFill/>
                    </a:ln>
                  </pic:spPr>
                </pic:pic>
              </a:graphicData>
            </a:graphic>
          </wp:inline>
        </w:drawing>
      </w:r>
    </w:p>
    <w:p w14:paraId="5B3EE231" w14:textId="316B04A9" w:rsidR="009708C5" w:rsidRDefault="009708C5" w:rsidP="00DA3390">
      <w:pPr>
        <w:pStyle w:val="Didascalia"/>
      </w:pPr>
      <w:bookmarkStart w:id="3" w:name="_Ref131149291"/>
      <w:r>
        <w:t xml:space="preserve">Figure </w:t>
      </w:r>
      <w:fldSimple w:instr=" SEQ Figure \* ARABIC ">
        <w:r>
          <w:rPr>
            <w:noProof/>
          </w:rPr>
          <w:t>1</w:t>
        </w:r>
      </w:fldSimple>
      <w:bookmarkEnd w:id="3"/>
      <w:r>
        <w:t>. The flowchart of the agent-based simulation of retrofit uptake</w:t>
      </w:r>
    </w:p>
    <w:p w14:paraId="2F2D9787" w14:textId="03928B15" w:rsidR="00AE0937" w:rsidRPr="00D767DA" w:rsidRDefault="00AE0937" w:rsidP="00AE0937">
      <w:pPr>
        <w:pStyle w:val="Titolo2"/>
        <w:rPr>
          <w:i w:val="0"/>
          <w:sz w:val="24"/>
          <w:szCs w:val="24"/>
        </w:rPr>
      </w:pPr>
      <w:r>
        <w:rPr>
          <w:i w:val="0"/>
          <w:sz w:val="24"/>
          <w:szCs w:val="24"/>
        </w:rPr>
        <w:t>Conclusions</w:t>
      </w:r>
    </w:p>
    <w:p w14:paraId="6DA4C594" w14:textId="2017E3DA" w:rsidR="00AE0937" w:rsidRPr="002F11EC" w:rsidRDefault="008C4105" w:rsidP="008C7F8B">
      <w:pPr>
        <w:spacing w:after="200"/>
      </w:pPr>
      <w:r>
        <w:t xml:space="preserve">One of the most inclusive and social approaches that is being tested currently in the Netherlands is neighbourhood heat transition approach, whereby neighbourhood-level solutions to gas-free heating are planned and implemented </w:t>
      </w:r>
      <w:r>
        <w:fldChar w:fldCharType="begin" w:fldLock="1"/>
      </w:r>
      <w:r>
        <w:instrText>ADDIN CSL_CITATION {"citationItems":[{"id":"ITEM-1","itemData":{"URL":"https://expertisecentrumwarmte.nl/english/default.aspx","accessed":{"date-parts":[["2023","3","31"]]},"id":"ITEM-1","issued":{"date-parts":[["0"]]},"title":"Information about the heat transition in the Netherlands | Expertise Centrum Warmte","type":"webpage"},"uris":["http://www.mendeley.com/documents/?uuid=b521807d-2441-3db4-8b29-74ac0e60ab18"]}],"mendeley":{"formattedCitation":"[14]","plainTextFormattedCitation":"[14]","previouslyFormattedCitation":"[13]"},"properties":{"noteIndex":0},"schema":"https://github.com/citation-style-language/schema/raw/master/csl-citation.json"}</w:instrText>
      </w:r>
      <w:r>
        <w:fldChar w:fldCharType="separate"/>
      </w:r>
      <w:r w:rsidRPr="00B72AA0">
        <w:rPr>
          <w:noProof/>
        </w:rPr>
        <w:t>[14]</w:t>
      </w:r>
      <w:r>
        <w:fldChar w:fldCharType="end"/>
      </w:r>
      <w:r>
        <w:t xml:space="preserve">. The model presented in this work is an exploratory tool that could potentially be used to test the effect of various neighbourhood-level measures to increase the uptake of retrofitting. </w:t>
      </w:r>
      <w:r w:rsidR="00AE0937">
        <w:rPr>
          <w:lang w:val="en-US"/>
        </w:rPr>
        <w:t xml:space="preserve">Preliminary results indicate that the explicit modelling of barriers and agents’ heterogeneity leads to </w:t>
      </w:r>
      <w:r>
        <w:rPr>
          <w:lang w:val="en-US"/>
        </w:rPr>
        <w:t>different</w:t>
      </w:r>
      <w:r w:rsidR="00AE0937">
        <w:rPr>
          <w:lang w:val="en-US"/>
        </w:rPr>
        <w:t xml:space="preserve"> outcome</w:t>
      </w:r>
      <w:r>
        <w:rPr>
          <w:lang w:val="en-US"/>
        </w:rPr>
        <w:t>s</w:t>
      </w:r>
      <w:r w:rsidR="00AE0937">
        <w:rPr>
          <w:lang w:val="en-US"/>
        </w:rPr>
        <w:t xml:space="preserve"> compared to purely economic modelling. Depending on the specific conditions, mix of agents and economic conditions, certain policy measures such as one-stop shops, reducing transaction costs or neighbourhood renovation campaigns, affecting awareness and attitude of people may have a significant impact. These policy conclusions will be further elaborated in the full paper, based on the final model results. </w:t>
      </w:r>
    </w:p>
    <w:p w14:paraId="69FF27EA" w14:textId="77777777" w:rsidR="00DC69F1" w:rsidRPr="00D767DA" w:rsidRDefault="00DC69F1">
      <w:pPr>
        <w:pStyle w:val="Titolo2"/>
        <w:rPr>
          <w:i w:val="0"/>
          <w:sz w:val="24"/>
          <w:szCs w:val="24"/>
        </w:rPr>
      </w:pPr>
      <w:r w:rsidRPr="00D767DA">
        <w:rPr>
          <w:i w:val="0"/>
          <w:sz w:val="24"/>
          <w:szCs w:val="24"/>
        </w:rPr>
        <w:t>References</w:t>
      </w:r>
    </w:p>
    <w:p w14:paraId="730EE855" w14:textId="13186138" w:rsidR="00B72AA0" w:rsidRPr="00B72AA0" w:rsidRDefault="00523A5A" w:rsidP="00B72AA0">
      <w:pPr>
        <w:widowControl w:val="0"/>
        <w:autoSpaceDE w:val="0"/>
        <w:autoSpaceDN w:val="0"/>
        <w:adjustRightInd w:val="0"/>
        <w:spacing w:after="60"/>
        <w:ind w:left="640" w:hanging="640"/>
        <w:rPr>
          <w:noProof/>
          <w:sz w:val="16"/>
          <w:szCs w:val="24"/>
        </w:rPr>
      </w:pPr>
      <w:r w:rsidRPr="00B5441A">
        <w:rPr>
          <w:sz w:val="16"/>
          <w:szCs w:val="16"/>
        </w:rPr>
        <w:fldChar w:fldCharType="begin" w:fldLock="1"/>
      </w:r>
      <w:r w:rsidRPr="00B5441A">
        <w:rPr>
          <w:sz w:val="16"/>
          <w:szCs w:val="16"/>
        </w:rPr>
        <w:instrText xml:space="preserve">ADDIN Mendeley Bibliography CSL_BIBLIOGRAPHY </w:instrText>
      </w:r>
      <w:r w:rsidRPr="00B5441A">
        <w:rPr>
          <w:sz w:val="16"/>
          <w:szCs w:val="16"/>
        </w:rPr>
        <w:fldChar w:fldCharType="separate"/>
      </w:r>
      <w:r w:rsidR="00B72AA0" w:rsidRPr="00B72AA0">
        <w:rPr>
          <w:noProof/>
          <w:sz w:val="16"/>
          <w:szCs w:val="24"/>
        </w:rPr>
        <w:t>[1]</w:t>
      </w:r>
      <w:r w:rsidR="00B72AA0" w:rsidRPr="00B72AA0">
        <w:rPr>
          <w:noProof/>
          <w:sz w:val="16"/>
          <w:szCs w:val="24"/>
        </w:rPr>
        <w:tab/>
        <w:t>Buildings Performance Institute Europe (BPIE). Report on the evolution of the European regulatory framework for buildings efficiency. 2022.</w:t>
      </w:r>
    </w:p>
    <w:p w14:paraId="1DF3FC9E"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[2]</w:t>
      </w:r>
      <w:r w:rsidRPr="00B72AA0">
        <w:rPr>
          <w:noProof/>
          <w:sz w:val="16"/>
          <w:szCs w:val="24"/>
        </w:rPr>
        <w:tab/>
        <w:t>Wilson C, Crane L, Chryssochoidis G. Why do homeowners renovate energy efficiently? Contrasting perspectives and implications for policy. Energy Res Soc Sci 2015;7:12–22. https://doi.org/10.1016/j.erss.2015.03.002.</w:t>
      </w:r>
    </w:p>
    <w:p w14:paraId="342EF711"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[3]</w:t>
      </w:r>
      <w:r w:rsidRPr="00B72AA0">
        <w:rPr>
          <w:noProof/>
          <w:sz w:val="16"/>
          <w:szCs w:val="24"/>
        </w:rPr>
        <w:tab/>
        <w:t>Fowlie BM, Greenstone M, Wolfram C. Are the Non-Monetary Costs of Energy Efficiency Investments Large ? Understanding Low Take-up of a Free Energy Efficiency Program † 2015;105:201–4.</w:t>
      </w:r>
    </w:p>
    <w:p w14:paraId="08C90D76"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[4]</w:t>
      </w:r>
      <w:r w:rsidRPr="00B72AA0">
        <w:rPr>
          <w:noProof/>
          <w:sz w:val="16"/>
          <w:szCs w:val="24"/>
        </w:rPr>
        <w:tab/>
        <w:t>Ebrahimigharehbaghi S, Qian QK, Meijer FM, Visscher HJ. Transaction costs as a barrier in the renovation decision-making process: A study of homeowners in the Netherlands. Energy Build 2020;215:109849. https://doi.org/10.1016/J.ENBUILD.2020.109849.</w:t>
      </w:r>
    </w:p>
    <w:p w14:paraId="241629E2"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[5]</w:t>
      </w:r>
      <w:r w:rsidRPr="00B72AA0">
        <w:rPr>
          <w:noProof/>
          <w:sz w:val="16"/>
          <w:szCs w:val="24"/>
        </w:rPr>
        <w:tab/>
        <w:t>Lundmark R. Time-adjusted transaction costs for energy renovations for single-family house-owners. Energy Econ 2022;114:106327. https://doi.org/10.1016/j.eneco.2022.106327.</w:t>
      </w:r>
    </w:p>
    <w:p w14:paraId="0151778E"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[6]</w:t>
      </w:r>
      <w:r w:rsidRPr="00B72AA0">
        <w:rPr>
          <w:noProof/>
          <w:sz w:val="16"/>
          <w:szCs w:val="24"/>
        </w:rPr>
        <w:tab/>
        <w:t>Alavirad S, Mohammadi S, Hoes PJ, Xu L, Hensen JLM. Future-Proof Energy-Retrofit strategy for an existing Dutch neighbourhood. Energy Build 2022;260:111914. https://doi.org/10.1016/J.ENBUILD.2022.111914.</w:t>
      </w:r>
    </w:p>
    <w:p w14:paraId="2D643BC2"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[7]</w:t>
      </w:r>
      <w:r w:rsidRPr="00B72AA0">
        <w:rPr>
          <w:noProof/>
          <w:sz w:val="16"/>
          <w:szCs w:val="24"/>
        </w:rPr>
        <w:tab/>
        <w:t>Rose J, Thomsen KE, Domingo-Irigoyen S, Bolliger R, Venus D, Konstantinou T, et al. Building renovation at district level – Lessons learned from international case studies. Sustain Cities Soc 2021;72. https://doi.org/10.1016/j.scs.2021.103037.</w:t>
      </w:r>
    </w:p>
    <w:p w14:paraId="79554BA7"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[8]</w:t>
      </w:r>
      <w:r w:rsidRPr="00B72AA0">
        <w:rPr>
          <w:noProof/>
          <w:sz w:val="16"/>
          <w:szCs w:val="24"/>
        </w:rPr>
        <w:tab/>
        <w:t>Weidlich A, Veit D. A critical survey of agent-based wholesale electricity market models. Energy Econ 2008;30:1728–59. https://doi.org/10.1016/j.eneco.2008.01.003.</w:t>
      </w:r>
    </w:p>
    <w:p w14:paraId="58444AA1"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[9]</w:t>
      </w:r>
      <w:r w:rsidRPr="00B72AA0">
        <w:rPr>
          <w:noProof/>
          <w:sz w:val="16"/>
          <w:szCs w:val="24"/>
        </w:rPr>
        <w:tab/>
        <w:t>Kiesling E, Günther M, Stummer C, Wakolbinger LM. Agent-based simulation of innovation diffusion: A review. Cent Eur J Oper Res 2012;20:183–230. https://doi.org/10.1007/s10100-011-0210-y.</w:t>
      </w:r>
    </w:p>
    <w:p w14:paraId="4EEFD595"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[10]</w:t>
      </w:r>
      <w:r w:rsidRPr="00B72AA0">
        <w:rPr>
          <w:noProof/>
          <w:sz w:val="16"/>
          <w:szCs w:val="24"/>
        </w:rPr>
        <w:tab/>
        <w:t>Hansen P, Liu X, Morrison GM. Agent-based modelling and socio-technical energy transitions: A systematic literature review. Energy Res Soc Sci 2019;49:41–52. https://doi.org/10.1016/j.erss.2018.10.021.</w:t>
      </w:r>
    </w:p>
    <w:p w14:paraId="61E19FD3"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[11]</w:t>
      </w:r>
      <w:r w:rsidRPr="00B72AA0">
        <w:rPr>
          <w:noProof/>
          <w:sz w:val="16"/>
          <w:szCs w:val="24"/>
        </w:rPr>
        <w:tab/>
        <w:t>Akhatova A, Kranzl L, Schipfer F, Heendeniya CB. Agent-based modelling of urban and district energy systems – A systematic literature review. 2021.</w:t>
      </w:r>
    </w:p>
    <w:p w14:paraId="27BD54AB"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[12]</w:t>
      </w:r>
      <w:r w:rsidRPr="00B72AA0">
        <w:rPr>
          <w:noProof/>
          <w:sz w:val="16"/>
          <w:szCs w:val="24"/>
        </w:rPr>
        <w:tab/>
        <w:t>Despretz H, Hanratty M. Use of Building Typologies for Energy Performance Assessment of National Building Stocks . Existent Experiences in European Countries and Common Approach. 2012.</w:t>
      </w:r>
    </w:p>
    <w:p w14:paraId="2565F6FE" w14:textId="77777777" w:rsidR="00B72AA0" w:rsidRPr="00B72AA0" w:rsidRDefault="00B72AA0" w:rsidP="00B72AA0">
      <w:pPr>
        <w:widowControl w:val="0"/>
        <w:autoSpaceDE w:val="0"/>
        <w:autoSpaceDN w:val="0"/>
        <w:adjustRightInd w:val="0"/>
        <w:spacing w:after="60"/>
        <w:ind w:left="640" w:hanging="640"/>
        <w:rPr>
          <w:noProof/>
          <w:sz w:val="16"/>
          <w:szCs w:val="24"/>
        </w:rPr>
      </w:pPr>
      <w:r w:rsidRPr="00B72AA0">
        <w:rPr>
          <w:noProof/>
          <w:sz w:val="16"/>
          <w:szCs w:val="24"/>
        </w:rPr>
        <w:t>[13]</w:t>
      </w:r>
      <w:r w:rsidRPr="00B72AA0">
        <w:rPr>
          <w:noProof/>
          <w:sz w:val="16"/>
          <w:szCs w:val="24"/>
        </w:rPr>
        <w:tab/>
        <w:t>Deffuant G, Neau D, Amblard F, Weisbuch G. Mixing beliefs among interacting agents. Adv Complex Syst 2000;03:87–98. https://doi.org/10.1142/s0219525900000078.</w:t>
      </w:r>
    </w:p>
    <w:p w14:paraId="53C14411" w14:textId="77777777" w:rsidR="00B72AA0" w:rsidRPr="00B72AA0" w:rsidRDefault="00B72AA0" w:rsidP="00B72AA0">
      <w:pPr>
        <w:widowControl w:val="0"/>
        <w:autoSpaceDE w:val="0"/>
        <w:autoSpaceDN w:val="0"/>
        <w:adjustRightInd w:val="0"/>
        <w:spacing w:after="60"/>
        <w:ind w:left="640" w:hanging="640"/>
        <w:rPr>
          <w:noProof/>
          <w:sz w:val="16"/>
        </w:rPr>
      </w:pPr>
      <w:r w:rsidRPr="00B72AA0">
        <w:rPr>
          <w:noProof/>
          <w:sz w:val="16"/>
          <w:szCs w:val="24"/>
        </w:rPr>
        <w:t>[14]</w:t>
      </w:r>
      <w:r w:rsidRPr="00B72AA0">
        <w:rPr>
          <w:noProof/>
          <w:sz w:val="16"/>
          <w:szCs w:val="24"/>
        </w:rPr>
        <w:tab/>
        <w:t>Information about the heat transition in the Netherlands | Expertise Centrum Warmte n.d. https://expertisecentrumwarmte.nl/english/default.aspx (accessed March 31, 2023).</w:t>
      </w:r>
    </w:p>
    <w:p w14:paraId="206603B0" w14:textId="7C23C3E9" w:rsidR="00DC69F1" w:rsidRDefault="00523A5A" w:rsidP="00B5441A">
      <w:pPr>
        <w:widowControl w:val="0"/>
        <w:autoSpaceDE w:val="0"/>
        <w:autoSpaceDN w:val="0"/>
        <w:adjustRightInd w:val="0"/>
        <w:spacing w:after="60"/>
      </w:pPr>
      <w:r w:rsidRPr="00B5441A">
        <w:rPr>
          <w:sz w:val="16"/>
          <w:szCs w:val="16"/>
        </w:rPr>
        <w:fldChar w:fldCharType="end"/>
      </w:r>
    </w:p>
    <w:sectPr w:rsidR="00DC69F1" w:rsidSect="00FC73E0">
      <w:headerReference w:type="first" r:id="rId14"/>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C162" w14:textId="77777777" w:rsidR="002B2CDE" w:rsidRDefault="002B2CDE">
      <w:r>
        <w:separator/>
      </w:r>
    </w:p>
  </w:endnote>
  <w:endnote w:type="continuationSeparator" w:id="0">
    <w:p w14:paraId="517214E0" w14:textId="77777777" w:rsidR="002B2CDE" w:rsidRDefault="002B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AB1E" w14:textId="77777777" w:rsidR="002B2CDE" w:rsidRDefault="002B2CDE">
      <w:r>
        <w:separator/>
      </w:r>
    </w:p>
  </w:footnote>
  <w:footnote w:type="continuationSeparator" w:id="0">
    <w:p w14:paraId="4BF84CC9" w14:textId="77777777" w:rsidR="002B2CDE" w:rsidRDefault="002B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48D2" w14:textId="77777777" w:rsidR="005A5112" w:rsidRDefault="005A5112" w:rsidP="00DC69F1">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276EC0C">
      <w:start w:val="1"/>
      <w:numFmt w:val="bullet"/>
      <w:lvlText w:val=""/>
      <w:lvlJc w:val="left"/>
      <w:pPr>
        <w:tabs>
          <w:tab w:val="num" w:pos="720"/>
        </w:tabs>
        <w:ind w:left="720" w:hanging="360"/>
      </w:pPr>
      <w:rPr>
        <w:rFonts w:ascii="Symbol" w:hAnsi="Symbol" w:hint="default"/>
      </w:rPr>
    </w:lvl>
    <w:lvl w:ilvl="1" w:tplc="33C81032">
      <w:start w:val="1"/>
      <w:numFmt w:val="bullet"/>
      <w:lvlText w:val="o"/>
      <w:lvlJc w:val="left"/>
      <w:pPr>
        <w:tabs>
          <w:tab w:val="num" w:pos="1440"/>
        </w:tabs>
        <w:ind w:left="1440" w:hanging="360"/>
      </w:pPr>
      <w:rPr>
        <w:rFonts w:ascii="Courier New" w:hAnsi="Courier New" w:hint="default"/>
      </w:rPr>
    </w:lvl>
    <w:lvl w:ilvl="2" w:tplc="9F46CD7A" w:tentative="1">
      <w:start w:val="1"/>
      <w:numFmt w:val="bullet"/>
      <w:lvlText w:val=""/>
      <w:lvlJc w:val="left"/>
      <w:pPr>
        <w:tabs>
          <w:tab w:val="num" w:pos="2160"/>
        </w:tabs>
        <w:ind w:left="2160" w:hanging="360"/>
      </w:pPr>
      <w:rPr>
        <w:rFonts w:ascii="Wingdings" w:hAnsi="Wingdings" w:hint="default"/>
      </w:rPr>
    </w:lvl>
    <w:lvl w:ilvl="3" w:tplc="7EE80A46" w:tentative="1">
      <w:start w:val="1"/>
      <w:numFmt w:val="bullet"/>
      <w:lvlText w:val=""/>
      <w:lvlJc w:val="left"/>
      <w:pPr>
        <w:tabs>
          <w:tab w:val="num" w:pos="2880"/>
        </w:tabs>
        <w:ind w:left="2880" w:hanging="360"/>
      </w:pPr>
      <w:rPr>
        <w:rFonts w:ascii="Symbol" w:hAnsi="Symbol" w:hint="default"/>
      </w:rPr>
    </w:lvl>
    <w:lvl w:ilvl="4" w:tplc="71846C72" w:tentative="1">
      <w:start w:val="1"/>
      <w:numFmt w:val="bullet"/>
      <w:lvlText w:val="o"/>
      <w:lvlJc w:val="left"/>
      <w:pPr>
        <w:tabs>
          <w:tab w:val="num" w:pos="3600"/>
        </w:tabs>
        <w:ind w:left="3600" w:hanging="360"/>
      </w:pPr>
      <w:rPr>
        <w:rFonts w:ascii="Courier New" w:hAnsi="Courier New" w:hint="default"/>
      </w:rPr>
    </w:lvl>
    <w:lvl w:ilvl="5" w:tplc="E9D66AEA" w:tentative="1">
      <w:start w:val="1"/>
      <w:numFmt w:val="bullet"/>
      <w:lvlText w:val=""/>
      <w:lvlJc w:val="left"/>
      <w:pPr>
        <w:tabs>
          <w:tab w:val="num" w:pos="4320"/>
        </w:tabs>
        <w:ind w:left="4320" w:hanging="360"/>
      </w:pPr>
      <w:rPr>
        <w:rFonts w:ascii="Wingdings" w:hAnsi="Wingdings" w:hint="default"/>
      </w:rPr>
    </w:lvl>
    <w:lvl w:ilvl="6" w:tplc="29109952" w:tentative="1">
      <w:start w:val="1"/>
      <w:numFmt w:val="bullet"/>
      <w:lvlText w:val=""/>
      <w:lvlJc w:val="left"/>
      <w:pPr>
        <w:tabs>
          <w:tab w:val="num" w:pos="5040"/>
        </w:tabs>
        <w:ind w:left="5040" w:hanging="360"/>
      </w:pPr>
      <w:rPr>
        <w:rFonts w:ascii="Symbol" w:hAnsi="Symbol" w:hint="default"/>
      </w:rPr>
    </w:lvl>
    <w:lvl w:ilvl="7" w:tplc="6C4AD6A4" w:tentative="1">
      <w:start w:val="1"/>
      <w:numFmt w:val="bullet"/>
      <w:lvlText w:val="o"/>
      <w:lvlJc w:val="left"/>
      <w:pPr>
        <w:tabs>
          <w:tab w:val="num" w:pos="5760"/>
        </w:tabs>
        <w:ind w:left="5760" w:hanging="360"/>
      </w:pPr>
      <w:rPr>
        <w:rFonts w:ascii="Courier New" w:hAnsi="Courier New" w:hint="default"/>
      </w:rPr>
    </w:lvl>
    <w:lvl w:ilvl="8" w:tplc="06BE02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698A2FA0">
      <w:start w:val="1"/>
      <w:numFmt w:val="lowerRoman"/>
      <w:lvlText w:val="%1.)"/>
      <w:lvlJc w:val="left"/>
      <w:pPr>
        <w:tabs>
          <w:tab w:val="num" w:pos="540"/>
        </w:tabs>
        <w:ind w:left="255" w:hanging="435"/>
      </w:pPr>
      <w:rPr>
        <w:rFonts w:hint="default"/>
      </w:rPr>
    </w:lvl>
    <w:lvl w:ilvl="1" w:tplc="7A2423C4" w:tentative="1">
      <w:start w:val="1"/>
      <w:numFmt w:val="lowerLetter"/>
      <w:lvlText w:val="%2."/>
      <w:lvlJc w:val="left"/>
      <w:pPr>
        <w:tabs>
          <w:tab w:val="num" w:pos="1260"/>
        </w:tabs>
        <w:ind w:left="1260" w:hanging="360"/>
      </w:pPr>
    </w:lvl>
    <w:lvl w:ilvl="2" w:tplc="683668A0" w:tentative="1">
      <w:start w:val="1"/>
      <w:numFmt w:val="lowerRoman"/>
      <w:lvlText w:val="%3."/>
      <w:lvlJc w:val="right"/>
      <w:pPr>
        <w:tabs>
          <w:tab w:val="num" w:pos="1980"/>
        </w:tabs>
        <w:ind w:left="1980" w:hanging="180"/>
      </w:pPr>
    </w:lvl>
    <w:lvl w:ilvl="3" w:tplc="578CF88C" w:tentative="1">
      <w:start w:val="1"/>
      <w:numFmt w:val="decimal"/>
      <w:lvlText w:val="%4."/>
      <w:lvlJc w:val="left"/>
      <w:pPr>
        <w:tabs>
          <w:tab w:val="num" w:pos="2700"/>
        </w:tabs>
        <w:ind w:left="2700" w:hanging="360"/>
      </w:pPr>
    </w:lvl>
    <w:lvl w:ilvl="4" w:tplc="A828A382" w:tentative="1">
      <w:start w:val="1"/>
      <w:numFmt w:val="lowerLetter"/>
      <w:lvlText w:val="%5."/>
      <w:lvlJc w:val="left"/>
      <w:pPr>
        <w:tabs>
          <w:tab w:val="num" w:pos="3420"/>
        </w:tabs>
        <w:ind w:left="3420" w:hanging="360"/>
      </w:pPr>
    </w:lvl>
    <w:lvl w:ilvl="5" w:tplc="4BBE4BBA" w:tentative="1">
      <w:start w:val="1"/>
      <w:numFmt w:val="lowerRoman"/>
      <w:lvlText w:val="%6."/>
      <w:lvlJc w:val="right"/>
      <w:pPr>
        <w:tabs>
          <w:tab w:val="num" w:pos="4140"/>
        </w:tabs>
        <w:ind w:left="4140" w:hanging="180"/>
      </w:pPr>
    </w:lvl>
    <w:lvl w:ilvl="6" w:tplc="82126AE0" w:tentative="1">
      <w:start w:val="1"/>
      <w:numFmt w:val="decimal"/>
      <w:lvlText w:val="%7."/>
      <w:lvlJc w:val="left"/>
      <w:pPr>
        <w:tabs>
          <w:tab w:val="num" w:pos="4860"/>
        </w:tabs>
        <w:ind w:left="4860" w:hanging="360"/>
      </w:pPr>
    </w:lvl>
    <w:lvl w:ilvl="7" w:tplc="B15A4A78" w:tentative="1">
      <w:start w:val="1"/>
      <w:numFmt w:val="lowerLetter"/>
      <w:lvlText w:val="%8."/>
      <w:lvlJc w:val="left"/>
      <w:pPr>
        <w:tabs>
          <w:tab w:val="num" w:pos="5580"/>
        </w:tabs>
        <w:ind w:left="5580" w:hanging="360"/>
      </w:pPr>
    </w:lvl>
    <w:lvl w:ilvl="8" w:tplc="5E70676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53762C18">
      <w:start w:val="1"/>
      <w:numFmt w:val="bullet"/>
      <w:lvlText w:val=""/>
      <w:lvlJc w:val="left"/>
      <w:pPr>
        <w:tabs>
          <w:tab w:val="num" w:pos="720"/>
        </w:tabs>
        <w:ind w:left="720" w:hanging="360"/>
      </w:pPr>
      <w:rPr>
        <w:rFonts w:ascii="Symbol" w:hAnsi="Symbol" w:hint="default"/>
      </w:rPr>
    </w:lvl>
    <w:lvl w:ilvl="1" w:tplc="1A44280C" w:tentative="1">
      <w:start w:val="1"/>
      <w:numFmt w:val="bullet"/>
      <w:lvlText w:val="o"/>
      <w:lvlJc w:val="left"/>
      <w:pPr>
        <w:tabs>
          <w:tab w:val="num" w:pos="1440"/>
        </w:tabs>
        <w:ind w:left="1440" w:hanging="360"/>
      </w:pPr>
      <w:rPr>
        <w:rFonts w:ascii="Courier New" w:hAnsi="Courier New" w:hint="default"/>
      </w:rPr>
    </w:lvl>
    <w:lvl w:ilvl="2" w:tplc="A226398A" w:tentative="1">
      <w:start w:val="1"/>
      <w:numFmt w:val="bullet"/>
      <w:lvlText w:val=""/>
      <w:lvlJc w:val="left"/>
      <w:pPr>
        <w:tabs>
          <w:tab w:val="num" w:pos="2160"/>
        </w:tabs>
        <w:ind w:left="2160" w:hanging="360"/>
      </w:pPr>
      <w:rPr>
        <w:rFonts w:ascii="Wingdings" w:hAnsi="Wingdings" w:hint="default"/>
      </w:rPr>
    </w:lvl>
    <w:lvl w:ilvl="3" w:tplc="C5A27D04" w:tentative="1">
      <w:start w:val="1"/>
      <w:numFmt w:val="bullet"/>
      <w:lvlText w:val=""/>
      <w:lvlJc w:val="left"/>
      <w:pPr>
        <w:tabs>
          <w:tab w:val="num" w:pos="2880"/>
        </w:tabs>
        <w:ind w:left="2880" w:hanging="360"/>
      </w:pPr>
      <w:rPr>
        <w:rFonts w:ascii="Symbol" w:hAnsi="Symbol" w:hint="default"/>
      </w:rPr>
    </w:lvl>
    <w:lvl w:ilvl="4" w:tplc="7E3663FE" w:tentative="1">
      <w:start w:val="1"/>
      <w:numFmt w:val="bullet"/>
      <w:lvlText w:val="o"/>
      <w:lvlJc w:val="left"/>
      <w:pPr>
        <w:tabs>
          <w:tab w:val="num" w:pos="3600"/>
        </w:tabs>
        <w:ind w:left="3600" w:hanging="360"/>
      </w:pPr>
      <w:rPr>
        <w:rFonts w:ascii="Courier New" w:hAnsi="Courier New" w:hint="default"/>
      </w:rPr>
    </w:lvl>
    <w:lvl w:ilvl="5" w:tplc="9A067BBC" w:tentative="1">
      <w:start w:val="1"/>
      <w:numFmt w:val="bullet"/>
      <w:lvlText w:val=""/>
      <w:lvlJc w:val="left"/>
      <w:pPr>
        <w:tabs>
          <w:tab w:val="num" w:pos="4320"/>
        </w:tabs>
        <w:ind w:left="4320" w:hanging="360"/>
      </w:pPr>
      <w:rPr>
        <w:rFonts w:ascii="Wingdings" w:hAnsi="Wingdings" w:hint="default"/>
      </w:rPr>
    </w:lvl>
    <w:lvl w:ilvl="6" w:tplc="46E2A5E4" w:tentative="1">
      <w:start w:val="1"/>
      <w:numFmt w:val="bullet"/>
      <w:lvlText w:val=""/>
      <w:lvlJc w:val="left"/>
      <w:pPr>
        <w:tabs>
          <w:tab w:val="num" w:pos="5040"/>
        </w:tabs>
        <w:ind w:left="5040" w:hanging="360"/>
      </w:pPr>
      <w:rPr>
        <w:rFonts w:ascii="Symbol" w:hAnsi="Symbol" w:hint="default"/>
      </w:rPr>
    </w:lvl>
    <w:lvl w:ilvl="7" w:tplc="C69C02B2" w:tentative="1">
      <w:start w:val="1"/>
      <w:numFmt w:val="bullet"/>
      <w:lvlText w:val="o"/>
      <w:lvlJc w:val="left"/>
      <w:pPr>
        <w:tabs>
          <w:tab w:val="num" w:pos="5760"/>
        </w:tabs>
        <w:ind w:left="5760" w:hanging="360"/>
      </w:pPr>
      <w:rPr>
        <w:rFonts w:ascii="Courier New" w:hAnsi="Courier New" w:hint="default"/>
      </w:rPr>
    </w:lvl>
    <w:lvl w:ilvl="8" w:tplc="CFC8DE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24B0FD98">
      <w:start w:val="1"/>
      <w:numFmt w:val="lowerRoman"/>
      <w:lvlText w:val="%1.)"/>
      <w:lvlJc w:val="left"/>
      <w:pPr>
        <w:tabs>
          <w:tab w:val="num" w:pos="720"/>
        </w:tabs>
        <w:ind w:left="435" w:hanging="435"/>
      </w:pPr>
      <w:rPr>
        <w:rFonts w:hint="default"/>
      </w:rPr>
    </w:lvl>
    <w:lvl w:ilvl="1" w:tplc="3E70A074">
      <w:start w:val="8"/>
      <w:numFmt w:val="decimal"/>
      <w:lvlText w:val="%2."/>
      <w:lvlJc w:val="left"/>
      <w:pPr>
        <w:tabs>
          <w:tab w:val="num" w:pos="1080"/>
        </w:tabs>
        <w:ind w:left="1080" w:hanging="360"/>
      </w:pPr>
      <w:rPr>
        <w:rFonts w:hint="default"/>
      </w:rPr>
    </w:lvl>
    <w:lvl w:ilvl="2" w:tplc="20E8C16C" w:tentative="1">
      <w:start w:val="1"/>
      <w:numFmt w:val="lowerRoman"/>
      <w:lvlText w:val="%3."/>
      <w:lvlJc w:val="right"/>
      <w:pPr>
        <w:tabs>
          <w:tab w:val="num" w:pos="1800"/>
        </w:tabs>
        <w:ind w:left="1800" w:hanging="180"/>
      </w:pPr>
    </w:lvl>
    <w:lvl w:ilvl="3" w:tplc="DE6A3122" w:tentative="1">
      <w:start w:val="1"/>
      <w:numFmt w:val="decimal"/>
      <w:lvlText w:val="%4."/>
      <w:lvlJc w:val="left"/>
      <w:pPr>
        <w:tabs>
          <w:tab w:val="num" w:pos="2520"/>
        </w:tabs>
        <w:ind w:left="2520" w:hanging="360"/>
      </w:pPr>
    </w:lvl>
    <w:lvl w:ilvl="4" w:tplc="5B2E8EA0" w:tentative="1">
      <w:start w:val="1"/>
      <w:numFmt w:val="lowerLetter"/>
      <w:lvlText w:val="%5."/>
      <w:lvlJc w:val="left"/>
      <w:pPr>
        <w:tabs>
          <w:tab w:val="num" w:pos="3240"/>
        </w:tabs>
        <w:ind w:left="3240" w:hanging="360"/>
      </w:pPr>
    </w:lvl>
    <w:lvl w:ilvl="5" w:tplc="31B8C224" w:tentative="1">
      <w:start w:val="1"/>
      <w:numFmt w:val="lowerRoman"/>
      <w:lvlText w:val="%6."/>
      <w:lvlJc w:val="right"/>
      <w:pPr>
        <w:tabs>
          <w:tab w:val="num" w:pos="3960"/>
        </w:tabs>
        <w:ind w:left="3960" w:hanging="180"/>
      </w:pPr>
    </w:lvl>
    <w:lvl w:ilvl="6" w:tplc="808260BA" w:tentative="1">
      <w:start w:val="1"/>
      <w:numFmt w:val="decimal"/>
      <w:lvlText w:val="%7."/>
      <w:lvlJc w:val="left"/>
      <w:pPr>
        <w:tabs>
          <w:tab w:val="num" w:pos="4680"/>
        </w:tabs>
        <w:ind w:left="4680" w:hanging="360"/>
      </w:pPr>
    </w:lvl>
    <w:lvl w:ilvl="7" w:tplc="5B28842C" w:tentative="1">
      <w:start w:val="1"/>
      <w:numFmt w:val="lowerLetter"/>
      <w:lvlText w:val="%8."/>
      <w:lvlJc w:val="left"/>
      <w:pPr>
        <w:tabs>
          <w:tab w:val="num" w:pos="5400"/>
        </w:tabs>
        <w:ind w:left="5400" w:hanging="360"/>
      </w:pPr>
    </w:lvl>
    <w:lvl w:ilvl="8" w:tplc="FA38F4D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D34E184C">
      <w:start w:val="1"/>
      <w:numFmt w:val="lowerLetter"/>
      <w:lvlText w:val="%1)"/>
      <w:lvlJc w:val="left"/>
      <w:pPr>
        <w:tabs>
          <w:tab w:val="num" w:pos="720"/>
        </w:tabs>
        <w:ind w:left="720" w:hanging="360"/>
      </w:pPr>
    </w:lvl>
    <w:lvl w:ilvl="1" w:tplc="90685DFC" w:tentative="1">
      <w:start w:val="1"/>
      <w:numFmt w:val="lowerLetter"/>
      <w:lvlText w:val="%2."/>
      <w:lvlJc w:val="left"/>
      <w:pPr>
        <w:tabs>
          <w:tab w:val="num" w:pos="1440"/>
        </w:tabs>
        <w:ind w:left="1440" w:hanging="360"/>
      </w:pPr>
    </w:lvl>
    <w:lvl w:ilvl="2" w:tplc="19FC21F8" w:tentative="1">
      <w:start w:val="1"/>
      <w:numFmt w:val="lowerRoman"/>
      <w:lvlText w:val="%3."/>
      <w:lvlJc w:val="right"/>
      <w:pPr>
        <w:tabs>
          <w:tab w:val="num" w:pos="2160"/>
        </w:tabs>
        <w:ind w:left="2160" w:hanging="180"/>
      </w:pPr>
    </w:lvl>
    <w:lvl w:ilvl="3" w:tplc="68D2C068" w:tentative="1">
      <w:start w:val="1"/>
      <w:numFmt w:val="decimal"/>
      <w:lvlText w:val="%4."/>
      <w:lvlJc w:val="left"/>
      <w:pPr>
        <w:tabs>
          <w:tab w:val="num" w:pos="2880"/>
        </w:tabs>
        <w:ind w:left="2880" w:hanging="360"/>
      </w:pPr>
    </w:lvl>
    <w:lvl w:ilvl="4" w:tplc="EEFA73C8" w:tentative="1">
      <w:start w:val="1"/>
      <w:numFmt w:val="lowerLetter"/>
      <w:lvlText w:val="%5."/>
      <w:lvlJc w:val="left"/>
      <w:pPr>
        <w:tabs>
          <w:tab w:val="num" w:pos="3600"/>
        </w:tabs>
        <w:ind w:left="3600" w:hanging="360"/>
      </w:pPr>
    </w:lvl>
    <w:lvl w:ilvl="5" w:tplc="272E8EAC" w:tentative="1">
      <w:start w:val="1"/>
      <w:numFmt w:val="lowerRoman"/>
      <w:lvlText w:val="%6."/>
      <w:lvlJc w:val="right"/>
      <w:pPr>
        <w:tabs>
          <w:tab w:val="num" w:pos="4320"/>
        </w:tabs>
        <w:ind w:left="4320" w:hanging="180"/>
      </w:pPr>
    </w:lvl>
    <w:lvl w:ilvl="6" w:tplc="F86A9578" w:tentative="1">
      <w:start w:val="1"/>
      <w:numFmt w:val="decimal"/>
      <w:lvlText w:val="%7."/>
      <w:lvlJc w:val="left"/>
      <w:pPr>
        <w:tabs>
          <w:tab w:val="num" w:pos="5040"/>
        </w:tabs>
        <w:ind w:left="5040" w:hanging="360"/>
      </w:pPr>
    </w:lvl>
    <w:lvl w:ilvl="7" w:tplc="C38AFC6C" w:tentative="1">
      <w:start w:val="1"/>
      <w:numFmt w:val="lowerLetter"/>
      <w:lvlText w:val="%8."/>
      <w:lvlJc w:val="left"/>
      <w:pPr>
        <w:tabs>
          <w:tab w:val="num" w:pos="5760"/>
        </w:tabs>
        <w:ind w:left="5760" w:hanging="360"/>
      </w:pPr>
    </w:lvl>
    <w:lvl w:ilvl="8" w:tplc="5A70E414"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9B3A933E">
      <w:start w:val="1"/>
      <w:numFmt w:val="lowerRoman"/>
      <w:lvlText w:val="%1.)"/>
      <w:lvlJc w:val="left"/>
      <w:pPr>
        <w:tabs>
          <w:tab w:val="num" w:pos="720"/>
        </w:tabs>
        <w:ind w:left="435" w:hanging="435"/>
      </w:pPr>
      <w:rPr>
        <w:rFonts w:hint="default"/>
      </w:rPr>
    </w:lvl>
    <w:lvl w:ilvl="1" w:tplc="5CFE0DB2" w:tentative="1">
      <w:start w:val="1"/>
      <w:numFmt w:val="lowerLetter"/>
      <w:lvlText w:val="%2."/>
      <w:lvlJc w:val="left"/>
      <w:pPr>
        <w:tabs>
          <w:tab w:val="num" w:pos="1440"/>
        </w:tabs>
        <w:ind w:left="1440" w:hanging="360"/>
      </w:pPr>
    </w:lvl>
    <w:lvl w:ilvl="2" w:tplc="C6681958" w:tentative="1">
      <w:start w:val="1"/>
      <w:numFmt w:val="lowerRoman"/>
      <w:lvlText w:val="%3."/>
      <w:lvlJc w:val="right"/>
      <w:pPr>
        <w:tabs>
          <w:tab w:val="num" w:pos="2160"/>
        </w:tabs>
        <w:ind w:left="2160" w:hanging="180"/>
      </w:pPr>
    </w:lvl>
    <w:lvl w:ilvl="3" w:tplc="96864056" w:tentative="1">
      <w:start w:val="1"/>
      <w:numFmt w:val="decimal"/>
      <w:lvlText w:val="%4."/>
      <w:lvlJc w:val="left"/>
      <w:pPr>
        <w:tabs>
          <w:tab w:val="num" w:pos="2880"/>
        </w:tabs>
        <w:ind w:left="2880" w:hanging="360"/>
      </w:pPr>
    </w:lvl>
    <w:lvl w:ilvl="4" w:tplc="9E721D12" w:tentative="1">
      <w:start w:val="1"/>
      <w:numFmt w:val="lowerLetter"/>
      <w:lvlText w:val="%5."/>
      <w:lvlJc w:val="left"/>
      <w:pPr>
        <w:tabs>
          <w:tab w:val="num" w:pos="3600"/>
        </w:tabs>
        <w:ind w:left="3600" w:hanging="360"/>
      </w:pPr>
    </w:lvl>
    <w:lvl w:ilvl="5" w:tplc="A2B8DB0A" w:tentative="1">
      <w:start w:val="1"/>
      <w:numFmt w:val="lowerRoman"/>
      <w:lvlText w:val="%6."/>
      <w:lvlJc w:val="right"/>
      <w:pPr>
        <w:tabs>
          <w:tab w:val="num" w:pos="4320"/>
        </w:tabs>
        <w:ind w:left="4320" w:hanging="180"/>
      </w:pPr>
    </w:lvl>
    <w:lvl w:ilvl="6" w:tplc="A66ADB24" w:tentative="1">
      <w:start w:val="1"/>
      <w:numFmt w:val="decimal"/>
      <w:lvlText w:val="%7."/>
      <w:lvlJc w:val="left"/>
      <w:pPr>
        <w:tabs>
          <w:tab w:val="num" w:pos="5040"/>
        </w:tabs>
        <w:ind w:left="5040" w:hanging="360"/>
      </w:pPr>
    </w:lvl>
    <w:lvl w:ilvl="7" w:tplc="89D65AB2" w:tentative="1">
      <w:start w:val="1"/>
      <w:numFmt w:val="lowerLetter"/>
      <w:lvlText w:val="%8."/>
      <w:lvlJc w:val="left"/>
      <w:pPr>
        <w:tabs>
          <w:tab w:val="num" w:pos="5760"/>
        </w:tabs>
        <w:ind w:left="5760" w:hanging="360"/>
      </w:pPr>
    </w:lvl>
    <w:lvl w:ilvl="8" w:tplc="D9D6911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E55EE4B4">
      <w:start w:val="1"/>
      <w:numFmt w:val="bullet"/>
      <w:lvlText w:val=""/>
      <w:lvlJc w:val="left"/>
      <w:pPr>
        <w:tabs>
          <w:tab w:val="num" w:pos="720"/>
        </w:tabs>
        <w:ind w:left="720" w:hanging="360"/>
      </w:pPr>
      <w:rPr>
        <w:rFonts w:ascii="Symbol" w:hAnsi="Symbol" w:hint="default"/>
      </w:rPr>
    </w:lvl>
    <w:lvl w:ilvl="1" w:tplc="6816B150" w:tentative="1">
      <w:start w:val="1"/>
      <w:numFmt w:val="bullet"/>
      <w:lvlText w:val="o"/>
      <w:lvlJc w:val="left"/>
      <w:pPr>
        <w:tabs>
          <w:tab w:val="num" w:pos="1440"/>
        </w:tabs>
        <w:ind w:left="1440" w:hanging="360"/>
      </w:pPr>
      <w:rPr>
        <w:rFonts w:ascii="Courier New" w:hAnsi="Courier New" w:hint="default"/>
      </w:rPr>
    </w:lvl>
    <w:lvl w:ilvl="2" w:tplc="C352B6EE" w:tentative="1">
      <w:start w:val="1"/>
      <w:numFmt w:val="bullet"/>
      <w:lvlText w:val=""/>
      <w:lvlJc w:val="left"/>
      <w:pPr>
        <w:tabs>
          <w:tab w:val="num" w:pos="2160"/>
        </w:tabs>
        <w:ind w:left="2160" w:hanging="360"/>
      </w:pPr>
      <w:rPr>
        <w:rFonts w:ascii="Wingdings" w:hAnsi="Wingdings" w:hint="default"/>
      </w:rPr>
    </w:lvl>
    <w:lvl w:ilvl="3" w:tplc="6B9E2254" w:tentative="1">
      <w:start w:val="1"/>
      <w:numFmt w:val="bullet"/>
      <w:lvlText w:val=""/>
      <w:lvlJc w:val="left"/>
      <w:pPr>
        <w:tabs>
          <w:tab w:val="num" w:pos="2880"/>
        </w:tabs>
        <w:ind w:left="2880" w:hanging="360"/>
      </w:pPr>
      <w:rPr>
        <w:rFonts w:ascii="Symbol" w:hAnsi="Symbol" w:hint="default"/>
      </w:rPr>
    </w:lvl>
    <w:lvl w:ilvl="4" w:tplc="598498CE" w:tentative="1">
      <w:start w:val="1"/>
      <w:numFmt w:val="bullet"/>
      <w:lvlText w:val="o"/>
      <w:lvlJc w:val="left"/>
      <w:pPr>
        <w:tabs>
          <w:tab w:val="num" w:pos="3600"/>
        </w:tabs>
        <w:ind w:left="3600" w:hanging="360"/>
      </w:pPr>
      <w:rPr>
        <w:rFonts w:ascii="Courier New" w:hAnsi="Courier New" w:hint="default"/>
      </w:rPr>
    </w:lvl>
    <w:lvl w:ilvl="5" w:tplc="B1602C58" w:tentative="1">
      <w:start w:val="1"/>
      <w:numFmt w:val="bullet"/>
      <w:lvlText w:val=""/>
      <w:lvlJc w:val="left"/>
      <w:pPr>
        <w:tabs>
          <w:tab w:val="num" w:pos="4320"/>
        </w:tabs>
        <w:ind w:left="4320" w:hanging="360"/>
      </w:pPr>
      <w:rPr>
        <w:rFonts w:ascii="Wingdings" w:hAnsi="Wingdings" w:hint="default"/>
      </w:rPr>
    </w:lvl>
    <w:lvl w:ilvl="6" w:tplc="8920FBFE" w:tentative="1">
      <w:start w:val="1"/>
      <w:numFmt w:val="bullet"/>
      <w:lvlText w:val=""/>
      <w:lvlJc w:val="left"/>
      <w:pPr>
        <w:tabs>
          <w:tab w:val="num" w:pos="5040"/>
        </w:tabs>
        <w:ind w:left="5040" w:hanging="360"/>
      </w:pPr>
      <w:rPr>
        <w:rFonts w:ascii="Symbol" w:hAnsi="Symbol" w:hint="default"/>
      </w:rPr>
    </w:lvl>
    <w:lvl w:ilvl="7" w:tplc="FE9C4B36" w:tentative="1">
      <w:start w:val="1"/>
      <w:numFmt w:val="bullet"/>
      <w:lvlText w:val="o"/>
      <w:lvlJc w:val="left"/>
      <w:pPr>
        <w:tabs>
          <w:tab w:val="num" w:pos="5760"/>
        </w:tabs>
        <w:ind w:left="5760" w:hanging="360"/>
      </w:pPr>
      <w:rPr>
        <w:rFonts w:ascii="Courier New" w:hAnsi="Courier New" w:hint="default"/>
      </w:rPr>
    </w:lvl>
    <w:lvl w:ilvl="8" w:tplc="C018F1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9BEAF77E">
      <w:start w:val="1"/>
      <w:numFmt w:val="bullet"/>
      <w:lvlText w:val=""/>
      <w:lvlJc w:val="left"/>
      <w:pPr>
        <w:tabs>
          <w:tab w:val="num" w:pos="1440"/>
        </w:tabs>
        <w:ind w:left="1440" w:hanging="360"/>
      </w:pPr>
      <w:rPr>
        <w:rFonts w:ascii="Symbol" w:hAnsi="Symbol" w:hint="default"/>
      </w:rPr>
    </w:lvl>
    <w:lvl w:ilvl="1" w:tplc="2C701CA8" w:tentative="1">
      <w:start w:val="1"/>
      <w:numFmt w:val="bullet"/>
      <w:lvlText w:val="o"/>
      <w:lvlJc w:val="left"/>
      <w:pPr>
        <w:tabs>
          <w:tab w:val="num" w:pos="2160"/>
        </w:tabs>
        <w:ind w:left="2160" w:hanging="360"/>
      </w:pPr>
      <w:rPr>
        <w:rFonts w:ascii="Courier New" w:hAnsi="Courier New" w:hint="default"/>
      </w:rPr>
    </w:lvl>
    <w:lvl w:ilvl="2" w:tplc="B8A07A82" w:tentative="1">
      <w:start w:val="1"/>
      <w:numFmt w:val="bullet"/>
      <w:lvlText w:val=""/>
      <w:lvlJc w:val="left"/>
      <w:pPr>
        <w:tabs>
          <w:tab w:val="num" w:pos="2880"/>
        </w:tabs>
        <w:ind w:left="2880" w:hanging="360"/>
      </w:pPr>
      <w:rPr>
        <w:rFonts w:ascii="Wingdings" w:hAnsi="Wingdings" w:hint="default"/>
      </w:rPr>
    </w:lvl>
    <w:lvl w:ilvl="3" w:tplc="48D21E82" w:tentative="1">
      <w:start w:val="1"/>
      <w:numFmt w:val="bullet"/>
      <w:lvlText w:val=""/>
      <w:lvlJc w:val="left"/>
      <w:pPr>
        <w:tabs>
          <w:tab w:val="num" w:pos="3600"/>
        </w:tabs>
        <w:ind w:left="3600" w:hanging="360"/>
      </w:pPr>
      <w:rPr>
        <w:rFonts w:ascii="Symbol" w:hAnsi="Symbol" w:hint="default"/>
      </w:rPr>
    </w:lvl>
    <w:lvl w:ilvl="4" w:tplc="C834109A" w:tentative="1">
      <w:start w:val="1"/>
      <w:numFmt w:val="bullet"/>
      <w:lvlText w:val="o"/>
      <w:lvlJc w:val="left"/>
      <w:pPr>
        <w:tabs>
          <w:tab w:val="num" w:pos="4320"/>
        </w:tabs>
        <w:ind w:left="4320" w:hanging="360"/>
      </w:pPr>
      <w:rPr>
        <w:rFonts w:ascii="Courier New" w:hAnsi="Courier New" w:hint="default"/>
      </w:rPr>
    </w:lvl>
    <w:lvl w:ilvl="5" w:tplc="4692BBB6" w:tentative="1">
      <w:start w:val="1"/>
      <w:numFmt w:val="bullet"/>
      <w:lvlText w:val=""/>
      <w:lvlJc w:val="left"/>
      <w:pPr>
        <w:tabs>
          <w:tab w:val="num" w:pos="5040"/>
        </w:tabs>
        <w:ind w:left="5040" w:hanging="360"/>
      </w:pPr>
      <w:rPr>
        <w:rFonts w:ascii="Wingdings" w:hAnsi="Wingdings" w:hint="default"/>
      </w:rPr>
    </w:lvl>
    <w:lvl w:ilvl="6" w:tplc="A9941FC4" w:tentative="1">
      <w:start w:val="1"/>
      <w:numFmt w:val="bullet"/>
      <w:lvlText w:val=""/>
      <w:lvlJc w:val="left"/>
      <w:pPr>
        <w:tabs>
          <w:tab w:val="num" w:pos="5760"/>
        </w:tabs>
        <w:ind w:left="5760" w:hanging="360"/>
      </w:pPr>
      <w:rPr>
        <w:rFonts w:ascii="Symbol" w:hAnsi="Symbol" w:hint="default"/>
      </w:rPr>
    </w:lvl>
    <w:lvl w:ilvl="7" w:tplc="F6189BCE" w:tentative="1">
      <w:start w:val="1"/>
      <w:numFmt w:val="bullet"/>
      <w:lvlText w:val="o"/>
      <w:lvlJc w:val="left"/>
      <w:pPr>
        <w:tabs>
          <w:tab w:val="num" w:pos="6480"/>
        </w:tabs>
        <w:ind w:left="6480" w:hanging="360"/>
      </w:pPr>
      <w:rPr>
        <w:rFonts w:ascii="Courier New" w:hAnsi="Courier New" w:hint="default"/>
      </w:rPr>
    </w:lvl>
    <w:lvl w:ilvl="8" w:tplc="C570FD8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4E8CC928">
      <w:start w:val="1"/>
      <w:numFmt w:val="bullet"/>
      <w:lvlText w:val=""/>
      <w:lvlJc w:val="left"/>
      <w:pPr>
        <w:tabs>
          <w:tab w:val="num" w:pos="1440"/>
        </w:tabs>
        <w:ind w:left="1440" w:hanging="360"/>
      </w:pPr>
      <w:rPr>
        <w:rFonts w:ascii="Symbol" w:hAnsi="Symbol" w:hint="default"/>
      </w:rPr>
    </w:lvl>
    <w:lvl w:ilvl="1" w:tplc="79506AAC" w:tentative="1">
      <w:start w:val="1"/>
      <w:numFmt w:val="bullet"/>
      <w:lvlText w:val="o"/>
      <w:lvlJc w:val="left"/>
      <w:pPr>
        <w:tabs>
          <w:tab w:val="num" w:pos="2160"/>
        </w:tabs>
        <w:ind w:left="2160" w:hanging="360"/>
      </w:pPr>
      <w:rPr>
        <w:rFonts w:ascii="Courier New" w:hAnsi="Courier New" w:hint="default"/>
      </w:rPr>
    </w:lvl>
    <w:lvl w:ilvl="2" w:tplc="A25AC906" w:tentative="1">
      <w:start w:val="1"/>
      <w:numFmt w:val="bullet"/>
      <w:lvlText w:val=""/>
      <w:lvlJc w:val="left"/>
      <w:pPr>
        <w:tabs>
          <w:tab w:val="num" w:pos="2880"/>
        </w:tabs>
        <w:ind w:left="2880" w:hanging="360"/>
      </w:pPr>
      <w:rPr>
        <w:rFonts w:ascii="Wingdings" w:hAnsi="Wingdings" w:hint="default"/>
      </w:rPr>
    </w:lvl>
    <w:lvl w:ilvl="3" w:tplc="799CDC8C" w:tentative="1">
      <w:start w:val="1"/>
      <w:numFmt w:val="bullet"/>
      <w:lvlText w:val=""/>
      <w:lvlJc w:val="left"/>
      <w:pPr>
        <w:tabs>
          <w:tab w:val="num" w:pos="3600"/>
        </w:tabs>
        <w:ind w:left="3600" w:hanging="360"/>
      </w:pPr>
      <w:rPr>
        <w:rFonts w:ascii="Symbol" w:hAnsi="Symbol" w:hint="default"/>
      </w:rPr>
    </w:lvl>
    <w:lvl w:ilvl="4" w:tplc="6548EE44" w:tentative="1">
      <w:start w:val="1"/>
      <w:numFmt w:val="bullet"/>
      <w:lvlText w:val="o"/>
      <w:lvlJc w:val="left"/>
      <w:pPr>
        <w:tabs>
          <w:tab w:val="num" w:pos="4320"/>
        </w:tabs>
        <w:ind w:left="4320" w:hanging="360"/>
      </w:pPr>
      <w:rPr>
        <w:rFonts w:ascii="Courier New" w:hAnsi="Courier New" w:hint="default"/>
      </w:rPr>
    </w:lvl>
    <w:lvl w:ilvl="5" w:tplc="5F605F58" w:tentative="1">
      <w:start w:val="1"/>
      <w:numFmt w:val="bullet"/>
      <w:lvlText w:val=""/>
      <w:lvlJc w:val="left"/>
      <w:pPr>
        <w:tabs>
          <w:tab w:val="num" w:pos="5040"/>
        </w:tabs>
        <w:ind w:left="5040" w:hanging="360"/>
      </w:pPr>
      <w:rPr>
        <w:rFonts w:ascii="Wingdings" w:hAnsi="Wingdings" w:hint="default"/>
      </w:rPr>
    </w:lvl>
    <w:lvl w:ilvl="6" w:tplc="1BF4A5E4" w:tentative="1">
      <w:start w:val="1"/>
      <w:numFmt w:val="bullet"/>
      <w:lvlText w:val=""/>
      <w:lvlJc w:val="left"/>
      <w:pPr>
        <w:tabs>
          <w:tab w:val="num" w:pos="5760"/>
        </w:tabs>
        <w:ind w:left="5760" w:hanging="360"/>
      </w:pPr>
      <w:rPr>
        <w:rFonts w:ascii="Symbol" w:hAnsi="Symbol" w:hint="default"/>
      </w:rPr>
    </w:lvl>
    <w:lvl w:ilvl="7" w:tplc="C27807AA" w:tentative="1">
      <w:start w:val="1"/>
      <w:numFmt w:val="bullet"/>
      <w:lvlText w:val="o"/>
      <w:lvlJc w:val="left"/>
      <w:pPr>
        <w:tabs>
          <w:tab w:val="num" w:pos="6480"/>
        </w:tabs>
        <w:ind w:left="6480" w:hanging="360"/>
      </w:pPr>
      <w:rPr>
        <w:rFonts w:ascii="Courier New" w:hAnsi="Courier New" w:hint="default"/>
      </w:rPr>
    </w:lvl>
    <w:lvl w:ilvl="8" w:tplc="843A2B6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0784D3D6">
      <w:start w:val="1"/>
      <w:numFmt w:val="bullet"/>
      <w:lvlText w:val=""/>
      <w:lvlJc w:val="left"/>
      <w:pPr>
        <w:tabs>
          <w:tab w:val="num" w:pos="1440"/>
        </w:tabs>
        <w:ind w:left="1440" w:hanging="360"/>
      </w:pPr>
      <w:rPr>
        <w:rFonts w:ascii="Symbol" w:hAnsi="Symbol" w:hint="default"/>
      </w:rPr>
    </w:lvl>
    <w:lvl w:ilvl="1" w:tplc="40460AD8">
      <w:start w:val="1"/>
      <w:numFmt w:val="bullet"/>
      <w:lvlText w:val="o"/>
      <w:lvlJc w:val="left"/>
      <w:pPr>
        <w:tabs>
          <w:tab w:val="num" w:pos="2160"/>
        </w:tabs>
        <w:ind w:left="2160" w:hanging="360"/>
      </w:pPr>
      <w:rPr>
        <w:rFonts w:ascii="Courier New" w:hAnsi="Courier New" w:hint="default"/>
      </w:rPr>
    </w:lvl>
    <w:lvl w:ilvl="2" w:tplc="5658F2EE" w:tentative="1">
      <w:start w:val="1"/>
      <w:numFmt w:val="bullet"/>
      <w:lvlText w:val=""/>
      <w:lvlJc w:val="left"/>
      <w:pPr>
        <w:tabs>
          <w:tab w:val="num" w:pos="2880"/>
        </w:tabs>
        <w:ind w:left="2880" w:hanging="360"/>
      </w:pPr>
      <w:rPr>
        <w:rFonts w:ascii="Wingdings" w:hAnsi="Wingdings" w:hint="default"/>
      </w:rPr>
    </w:lvl>
    <w:lvl w:ilvl="3" w:tplc="316E9A12" w:tentative="1">
      <w:start w:val="1"/>
      <w:numFmt w:val="bullet"/>
      <w:lvlText w:val=""/>
      <w:lvlJc w:val="left"/>
      <w:pPr>
        <w:tabs>
          <w:tab w:val="num" w:pos="3600"/>
        </w:tabs>
        <w:ind w:left="3600" w:hanging="360"/>
      </w:pPr>
      <w:rPr>
        <w:rFonts w:ascii="Symbol" w:hAnsi="Symbol" w:hint="default"/>
      </w:rPr>
    </w:lvl>
    <w:lvl w:ilvl="4" w:tplc="10561A60" w:tentative="1">
      <w:start w:val="1"/>
      <w:numFmt w:val="bullet"/>
      <w:lvlText w:val="o"/>
      <w:lvlJc w:val="left"/>
      <w:pPr>
        <w:tabs>
          <w:tab w:val="num" w:pos="4320"/>
        </w:tabs>
        <w:ind w:left="4320" w:hanging="360"/>
      </w:pPr>
      <w:rPr>
        <w:rFonts w:ascii="Courier New" w:hAnsi="Courier New" w:hint="default"/>
      </w:rPr>
    </w:lvl>
    <w:lvl w:ilvl="5" w:tplc="274A9514" w:tentative="1">
      <w:start w:val="1"/>
      <w:numFmt w:val="bullet"/>
      <w:lvlText w:val=""/>
      <w:lvlJc w:val="left"/>
      <w:pPr>
        <w:tabs>
          <w:tab w:val="num" w:pos="5040"/>
        </w:tabs>
        <w:ind w:left="5040" w:hanging="360"/>
      </w:pPr>
      <w:rPr>
        <w:rFonts w:ascii="Wingdings" w:hAnsi="Wingdings" w:hint="default"/>
      </w:rPr>
    </w:lvl>
    <w:lvl w:ilvl="6" w:tplc="BC1C11AC" w:tentative="1">
      <w:start w:val="1"/>
      <w:numFmt w:val="bullet"/>
      <w:lvlText w:val=""/>
      <w:lvlJc w:val="left"/>
      <w:pPr>
        <w:tabs>
          <w:tab w:val="num" w:pos="5760"/>
        </w:tabs>
        <w:ind w:left="5760" w:hanging="360"/>
      </w:pPr>
      <w:rPr>
        <w:rFonts w:ascii="Symbol" w:hAnsi="Symbol" w:hint="default"/>
      </w:rPr>
    </w:lvl>
    <w:lvl w:ilvl="7" w:tplc="76482080" w:tentative="1">
      <w:start w:val="1"/>
      <w:numFmt w:val="bullet"/>
      <w:lvlText w:val="o"/>
      <w:lvlJc w:val="left"/>
      <w:pPr>
        <w:tabs>
          <w:tab w:val="num" w:pos="6480"/>
        </w:tabs>
        <w:ind w:left="6480" w:hanging="360"/>
      </w:pPr>
      <w:rPr>
        <w:rFonts w:ascii="Courier New" w:hAnsi="Courier New" w:hint="default"/>
      </w:rPr>
    </w:lvl>
    <w:lvl w:ilvl="8" w:tplc="49C6814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E81C29E2">
      <w:start w:val="1"/>
      <w:numFmt w:val="bullet"/>
      <w:lvlText w:val=""/>
      <w:lvlJc w:val="left"/>
      <w:pPr>
        <w:tabs>
          <w:tab w:val="num" w:pos="720"/>
        </w:tabs>
        <w:ind w:left="720" w:hanging="360"/>
      </w:pPr>
      <w:rPr>
        <w:rFonts w:ascii="Symbol" w:hAnsi="Symbol" w:hint="default"/>
      </w:rPr>
    </w:lvl>
    <w:lvl w:ilvl="1" w:tplc="29FE4238">
      <w:start w:val="1"/>
      <w:numFmt w:val="bullet"/>
      <w:lvlText w:val="o"/>
      <w:lvlJc w:val="left"/>
      <w:pPr>
        <w:tabs>
          <w:tab w:val="num" w:pos="1440"/>
        </w:tabs>
        <w:ind w:left="1440" w:hanging="360"/>
      </w:pPr>
      <w:rPr>
        <w:rFonts w:ascii="Courier New" w:hAnsi="Courier New" w:hint="default"/>
      </w:rPr>
    </w:lvl>
    <w:lvl w:ilvl="2" w:tplc="CE9A9C44" w:tentative="1">
      <w:start w:val="1"/>
      <w:numFmt w:val="bullet"/>
      <w:lvlText w:val=""/>
      <w:lvlJc w:val="left"/>
      <w:pPr>
        <w:tabs>
          <w:tab w:val="num" w:pos="2160"/>
        </w:tabs>
        <w:ind w:left="2160" w:hanging="360"/>
      </w:pPr>
      <w:rPr>
        <w:rFonts w:ascii="Wingdings" w:hAnsi="Wingdings" w:hint="default"/>
      </w:rPr>
    </w:lvl>
    <w:lvl w:ilvl="3" w:tplc="4D0E898A" w:tentative="1">
      <w:start w:val="1"/>
      <w:numFmt w:val="bullet"/>
      <w:lvlText w:val=""/>
      <w:lvlJc w:val="left"/>
      <w:pPr>
        <w:tabs>
          <w:tab w:val="num" w:pos="2880"/>
        </w:tabs>
        <w:ind w:left="2880" w:hanging="360"/>
      </w:pPr>
      <w:rPr>
        <w:rFonts w:ascii="Symbol" w:hAnsi="Symbol" w:hint="default"/>
      </w:rPr>
    </w:lvl>
    <w:lvl w:ilvl="4" w:tplc="FF46BE34" w:tentative="1">
      <w:start w:val="1"/>
      <w:numFmt w:val="bullet"/>
      <w:lvlText w:val="o"/>
      <w:lvlJc w:val="left"/>
      <w:pPr>
        <w:tabs>
          <w:tab w:val="num" w:pos="3600"/>
        </w:tabs>
        <w:ind w:left="3600" w:hanging="360"/>
      </w:pPr>
      <w:rPr>
        <w:rFonts w:ascii="Courier New" w:hAnsi="Courier New" w:hint="default"/>
      </w:rPr>
    </w:lvl>
    <w:lvl w:ilvl="5" w:tplc="8520AE36" w:tentative="1">
      <w:start w:val="1"/>
      <w:numFmt w:val="bullet"/>
      <w:lvlText w:val=""/>
      <w:lvlJc w:val="left"/>
      <w:pPr>
        <w:tabs>
          <w:tab w:val="num" w:pos="4320"/>
        </w:tabs>
        <w:ind w:left="4320" w:hanging="360"/>
      </w:pPr>
      <w:rPr>
        <w:rFonts w:ascii="Wingdings" w:hAnsi="Wingdings" w:hint="default"/>
      </w:rPr>
    </w:lvl>
    <w:lvl w:ilvl="6" w:tplc="C5BAE7B4" w:tentative="1">
      <w:start w:val="1"/>
      <w:numFmt w:val="bullet"/>
      <w:lvlText w:val=""/>
      <w:lvlJc w:val="left"/>
      <w:pPr>
        <w:tabs>
          <w:tab w:val="num" w:pos="5040"/>
        </w:tabs>
        <w:ind w:left="5040" w:hanging="360"/>
      </w:pPr>
      <w:rPr>
        <w:rFonts w:ascii="Symbol" w:hAnsi="Symbol" w:hint="default"/>
      </w:rPr>
    </w:lvl>
    <w:lvl w:ilvl="7" w:tplc="8AEAA478" w:tentative="1">
      <w:start w:val="1"/>
      <w:numFmt w:val="bullet"/>
      <w:lvlText w:val="o"/>
      <w:lvlJc w:val="left"/>
      <w:pPr>
        <w:tabs>
          <w:tab w:val="num" w:pos="5760"/>
        </w:tabs>
        <w:ind w:left="5760" w:hanging="360"/>
      </w:pPr>
      <w:rPr>
        <w:rFonts w:ascii="Courier New" w:hAnsi="Courier New" w:hint="default"/>
      </w:rPr>
    </w:lvl>
    <w:lvl w:ilvl="8" w:tplc="2226888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A0927400">
      <w:start w:val="1"/>
      <w:numFmt w:val="lowerRoman"/>
      <w:lvlText w:val="%1.)"/>
      <w:lvlJc w:val="left"/>
      <w:pPr>
        <w:tabs>
          <w:tab w:val="num" w:pos="540"/>
        </w:tabs>
        <w:ind w:left="255" w:hanging="435"/>
      </w:pPr>
      <w:rPr>
        <w:rFonts w:hint="default"/>
      </w:rPr>
    </w:lvl>
    <w:lvl w:ilvl="1" w:tplc="B328907A" w:tentative="1">
      <w:start w:val="1"/>
      <w:numFmt w:val="lowerLetter"/>
      <w:lvlText w:val="%2."/>
      <w:lvlJc w:val="left"/>
      <w:pPr>
        <w:tabs>
          <w:tab w:val="num" w:pos="1260"/>
        </w:tabs>
        <w:ind w:left="1260" w:hanging="360"/>
      </w:pPr>
    </w:lvl>
    <w:lvl w:ilvl="2" w:tplc="04C8E27E" w:tentative="1">
      <w:start w:val="1"/>
      <w:numFmt w:val="lowerRoman"/>
      <w:lvlText w:val="%3."/>
      <w:lvlJc w:val="right"/>
      <w:pPr>
        <w:tabs>
          <w:tab w:val="num" w:pos="1980"/>
        </w:tabs>
        <w:ind w:left="1980" w:hanging="180"/>
      </w:pPr>
    </w:lvl>
    <w:lvl w:ilvl="3" w:tplc="84A050D6" w:tentative="1">
      <w:start w:val="1"/>
      <w:numFmt w:val="decimal"/>
      <w:lvlText w:val="%4."/>
      <w:lvlJc w:val="left"/>
      <w:pPr>
        <w:tabs>
          <w:tab w:val="num" w:pos="2700"/>
        </w:tabs>
        <w:ind w:left="2700" w:hanging="360"/>
      </w:pPr>
    </w:lvl>
    <w:lvl w:ilvl="4" w:tplc="AADAF4C8" w:tentative="1">
      <w:start w:val="1"/>
      <w:numFmt w:val="lowerLetter"/>
      <w:lvlText w:val="%5."/>
      <w:lvlJc w:val="left"/>
      <w:pPr>
        <w:tabs>
          <w:tab w:val="num" w:pos="3420"/>
        </w:tabs>
        <w:ind w:left="3420" w:hanging="360"/>
      </w:pPr>
    </w:lvl>
    <w:lvl w:ilvl="5" w:tplc="4258843E" w:tentative="1">
      <w:start w:val="1"/>
      <w:numFmt w:val="lowerRoman"/>
      <w:lvlText w:val="%6."/>
      <w:lvlJc w:val="right"/>
      <w:pPr>
        <w:tabs>
          <w:tab w:val="num" w:pos="4140"/>
        </w:tabs>
        <w:ind w:left="4140" w:hanging="180"/>
      </w:pPr>
    </w:lvl>
    <w:lvl w:ilvl="6" w:tplc="9D8EED00" w:tentative="1">
      <w:start w:val="1"/>
      <w:numFmt w:val="decimal"/>
      <w:lvlText w:val="%7."/>
      <w:lvlJc w:val="left"/>
      <w:pPr>
        <w:tabs>
          <w:tab w:val="num" w:pos="4860"/>
        </w:tabs>
        <w:ind w:left="4860" w:hanging="360"/>
      </w:pPr>
    </w:lvl>
    <w:lvl w:ilvl="7" w:tplc="BE16E690" w:tentative="1">
      <w:start w:val="1"/>
      <w:numFmt w:val="lowerLetter"/>
      <w:lvlText w:val="%8."/>
      <w:lvlJc w:val="left"/>
      <w:pPr>
        <w:tabs>
          <w:tab w:val="num" w:pos="5580"/>
        </w:tabs>
        <w:ind w:left="5580" w:hanging="360"/>
      </w:pPr>
    </w:lvl>
    <w:lvl w:ilvl="8" w:tplc="C1C2B2E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72267476">
      <w:start w:val="1"/>
      <w:numFmt w:val="decimal"/>
      <w:lvlText w:val="%1."/>
      <w:lvlJc w:val="left"/>
      <w:pPr>
        <w:tabs>
          <w:tab w:val="num" w:pos="180"/>
        </w:tabs>
        <w:ind w:left="180" w:hanging="360"/>
      </w:pPr>
      <w:rPr>
        <w:rFonts w:hint="default"/>
      </w:rPr>
    </w:lvl>
    <w:lvl w:ilvl="1" w:tplc="5F4C40A8" w:tentative="1">
      <w:start w:val="1"/>
      <w:numFmt w:val="lowerLetter"/>
      <w:lvlText w:val="%2."/>
      <w:lvlJc w:val="left"/>
      <w:pPr>
        <w:tabs>
          <w:tab w:val="num" w:pos="900"/>
        </w:tabs>
        <w:ind w:left="900" w:hanging="360"/>
      </w:pPr>
    </w:lvl>
    <w:lvl w:ilvl="2" w:tplc="CDC8F278" w:tentative="1">
      <w:start w:val="1"/>
      <w:numFmt w:val="lowerRoman"/>
      <w:lvlText w:val="%3."/>
      <w:lvlJc w:val="right"/>
      <w:pPr>
        <w:tabs>
          <w:tab w:val="num" w:pos="1620"/>
        </w:tabs>
        <w:ind w:left="1620" w:hanging="180"/>
      </w:pPr>
    </w:lvl>
    <w:lvl w:ilvl="3" w:tplc="8CC0117E" w:tentative="1">
      <w:start w:val="1"/>
      <w:numFmt w:val="decimal"/>
      <w:lvlText w:val="%4."/>
      <w:lvlJc w:val="left"/>
      <w:pPr>
        <w:tabs>
          <w:tab w:val="num" w:pos="2340"/>
        </w:tabs>
        <w:ind w:left="2340" w:hanging="360"/>
      </w:pPr>
    </w:lvl>
    <w:lvl w:ilvl="4" w:tplc="8CDAEB56" w:tentative="1">
      <w:start w:val="1"/>
      <w:numFmt w:val="lowerLetter"/>
      <w:lvlText w:val="%5."/>
      <w:lvlJc w:val="left"/>
      <w:pPr>
        <w:tabs>
          <w:tab w:val="num" w:pos="3060"/>
        </w:tabs>
        <w:ind w:left="3060" w:hanging="360"/>
      </w:pPr>
    </w:lvl>
    <w:lvl w:ilvl="5" w:tplc="F3A47450" w:tentative="1">
      <w:start w:val="1"/>
      <w:numFmt w:val="lowerRoman"/>
      <w:lvlText w:val="%6."/>
      <w:lvlJc w:val="right"/>
      <w:pPr>
        <w:tabs>
          <w:tab w:val="num" w:pos="3780"/>
        </w:tabs>
        <w:ind w:left="3780" w:hanging="180"/>
      </w:pPr>
    </w:lvl>
    <w:lvl w:ilvl="6" w:tplc="AAA8A126" w:tentative="1">
      <w:start w:val="1"/>
      <w:numFmt w:val="decimal"/>
      <w:lvlText w:val="%7."/>
      <w:lvlJc w:val="left"/>
      <w:pPr>
        <w:tabs>
          <w:tab w:val="num" w:pos="4500"/>
        </w:tabs>
        <w:ind w:left="4500" w:hanging="360"/>
      </w:pPr>
    </w:lvl>
    <w:lvl w:ilvl="7" w:tplc="BA246FFA" w:tentative="1">
      <w:start w:val="1"/>
      <w:numFmt w:val="lowerLetter"/>
      <w:lvlText w:val="%8."/>
      <w:lvlJc w:val="left"/>
      <w:pPr>
        <w:tabs>
          <w:tab w:val="num" w:pos="5220"/>
        </w:tabs>
        <w:ind w:left="5220" w:hanging="360"/>
      </w:pPr>
    </w:lvl>
    <w:lvl w:ilvl="8" w:tplc="5FEAF5B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5AF8787E">
      <w:start w:val="1"/>
      <w:numFmt w:val="bullet"/>
      <w:lvlText w:val=""/>
      <w:lvlJc w:val="left"/>
      <w:pPr>
        <w:tabs>
          <w:tab w:val="num" w:pos="720"/>
        </w:tabs>
        <w:ind w:left="720" w:hanging="360"/>
      </w:pPr>
      <w:rPr>
        <w:rFonts w:ascii="Symbol" w:hAnsi="Symbol" w:hint="default"/>
      </w:rPr>
    </w:lvl>
    <w:lvl w:ilvl="1" w:tplc="FCFA94A6" w:tentative="1">
      <w:start w:val="1"/>
      <w:numFmt w:val="bullet"/>
      <w:lvlText w:val="o"/>
      <w:lvlJc w:val="left"/>
      <w:pPr>
        <w:tabs>
          <w:tab w:val="num" w:pos="1440"/>
        </w:tabs>
        <w:ind w:left="1440" w:hanging="360"/>
      </w:pPr>
      <w:rPr>
        <w:rFonts w:ascii="Courier New" w:hAnsi="Courier New" w:hint="default"/>
      </w:rPr>
    </w:lvl>
    <w:lvl w:ilvl="2" w:tplc="19D2EBB4" w:tentative="1">
      <w:start w:val="1"/>
      <w:numFmt w:val="bullet"/>
      <w:lvlText w:val=""/>
      <w:lvlJc w:val="left"/>
      <w:pPr>
        <w:tabs>
          <w:tab w:val="num" w:pos="2160"/>
        </w:tabs>
        <w:ind w:left="2160" w:hanging="360"/>
      </w:pPr>
      <w:rPr>
        <w:rFonts w:ascii="Wingdings" w:hAnsi="Wingdings" w:hint="default"/>
      </w:rPr>
    </w:lvl>
    <w:lvl w:ilvl="3" w:tplc="058E5C02" w:tentative="1">
      <w:start w:val="1"/>
      <w:numFmt w:val="bullet"/>
      <w:lvlText w:val=""/>
      <w:lvlJc w:val="left"/>
      <w:pPr>
        <w:tabs>
          <w:tab w:val="num" w:pos="2880"/>
        </w:tabs>
        <w:ind w:left="2880" w:hanging="360"/>
      </w:pPr>
      <w:rPr>
        <w:rFonts w:ascii="Symbol" w:hAnsi="Symbol" w:hint="default"/>
      </w:rPr>
    </w:lvl>
    <w:lvl w:ilvl="4" w:tplc="204C6DB8" w:tentative="1">
      <w:start w:val="1"/>
      <w:numFmt w:val="bullet"/>
      <w:lvlText w:val="o"/>
      <w:lvlJc w:val="left"/>
      <w:pPr>
        <w:tabs>
          <w:tab w:val="num" w:pos="3600"/>
        </w:tabs>
        <w:ind w:left="3600" w:hanging="360"/>
      </w:pPr>
      <w:rPr>
        <w:rFonts w:ascii="Courier New" w:hAnsi="Courier New" w:hint="default"/>
      </w:rPr>
    </w:lvl>
    <w:lvl w:ilvl="5" w:tplc="BA9445E4" w:tentative="1">
      <w:start w:val="1"/>
      <w:numFmt w:val="bullet"/>
      <w:lvlText w:val=""/>
      <w:lvlJc w:val="left"/>
      <w:pPr>
        <w:tabs>
          <w:tab w:val="num" w:pos="4320"/>
        </w:tabs>
        <w:ind w:left="4320" w:hanging="360"/>
      </w:pPr>
      <w:rPr>
        <w:rFonts w:ascii="Wingdings" w:hAnsi="Wingdings" w:hint="default"/>
      </w:rPr>
    </w:lvl>
    <w:lvl w:ilvl="6" w:tplc="B6A67376" w:tentative="1">
      <w:start w:val="1"/>
      <w:numFmt w:val="bullet"/>
      <w:lvlText w:val=""/>
      <w:lvlJc w:val="left"/>
      <w:pPr>
        <w:tabs>
          <w:tab w:val="num" w:pos="5040"/>
        </w:tabs>
        <w:ind w:left="5040" w:hanging="360"/>
      </w:pPr>
      <w:rPr>
        <w:rFonts w:ascii="Symbol" w:hAnsi="Symbol" w:hint="default"/>
      </w:rPr>
    </w:lvl>
    <w:lvl w:ilvl="7" w:tplc="D932D314" w:tentative="1">
      <w:start w:val="1"/>
      <w:numFmt w:val="bullet"/>
      <w:lvlText w:val="o"/>
      <w:lvlJc w:val="left"/>
      <w:pPr>
        <w:tabs>
          <w:tab w:val="num" w:pos="5760"/>
        </w:tabs>
        <w:ind w:left="5760" w:hanging="360"/>
      </w:pPr>
      <w:rPr>
        <w:rFonts w:ascii="Courier New" w:hAnsi="Courier New" w:hint="default"/>
      </w:rPr>
    </w:lvl>
    <w:lvl w:ilvl="8" w:tplc="35C671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116A96FA">
      <w:start w:val="1"/>
      <w:numFmt w:val="bullet"/>
      <w:lvlText w:val=""/>
      <w:lvlJc w:val="left"/>
      <w:pPr>
        <w:tabs>
          <w:tab w:val="num" w:pos="720"/>
        </w:tabs>
        <w:ind w:left="720" w:hanging="360"/>
      </w:pPr>
      <w:rPr>
        <w:rFonts w:ascii="Symbol" w:hAnsi="Symbol" w:hint="default"/>
      </w:rPr>
    </w:lvl>
    <w:lvl w:ilvl="1" w:tplc="62B2E5A0">
      <w:start w:val="1"/>
      <w:numFmt w:val="bullet"/>
      <w:lvlText w:val="o"/>
      <w:lvlJc w:val="left"/>
      <w:pPr>
        <w:tabs>
          <w:tab w:val="num" w:pos="1440"/>
        </w:tabs>
        <w:ind w:left="1440" w:hanging="360"/>
      </w:pPr>
      <w:rPr>
        <w:rFonts w:ascii="Courier New" w:hAnsi="Courier New" w:hint="default"/>
      </w:rPr>
    </w:lvl>
    <w:lvl w:ilvl="2" w:tplc="C0FE5E8C" w:tentative="1">
      <w:start w:val="1"/>
      <w:numFmt w:val="bullet"/>
      <w:lvlText w:val=""/>
      <w:lvlJc w:val="left"/>
      <w:pPr>
        <w:tabs>
          <w:tab w:val="num" w:pos="2160"/>
        </w:tabs>
        <w:ind w:left="2160" w:hanging="360"/>
      </w:pPr>
      <w:rPr>
        <w:rFonts w:ascii="Wingdings" w:hAnsi="Wingdings" w:hint="default"/>
      </w:rPr>
    </w:lvl>
    <w:lvl w:ilvl="3" w:tplc="A40253EE" w:tentative="1">
      <w:start w:val="1"/>
      <w:numFmt w:val="bullet"/>
      <w:lvlText w:val=""/>
      <w:lvlJc w:val="left"/>
      <w:pPr>
        <w:tabs>
          <w:tab w:val="num" w:pos="2880"/>
        </w:tabs>
        <w:ind w:left="2880" w:hanging="360"/>
      </w:pPr>
      <w:rPr>
        <w:rFonts w:ascii="Symbol" w:hAnsi="Symbol" w:hint="default"/>
      </w:rPr>
    </w:lvl>
    <w:lvl w:ilvl="4" w:tplc="3566FF3C" w:tentative="1">
      <w:start w:val="1"/>
      <w:numFmt w:val="bullet"/>
      <w:lvlText w:val="o"/>
      <w:lvlJc w:val="left"/>
      <w:pPr>
        <w:tabs>
          <w:tab w:val="num" w:pos="3600"/>
        </w:tabs>
        <w:ind w:left="3600" w:hanging="360"/>
      </w:pPr>
      <w:rPr>
        <w:rFonts w:ascii="Courier New" w:hAnsi="Courier New" w:hint="default"/>
      </w:rPr>
    </w:lvl>
    <w:lvl w:ilvl="5" w:tplc="55CE482A" w:tentative="1">
      <w:start w:val="1"/>
      <w:numFmt w:val="bullet"/>
      <w:lvlText w:val=""/>
      <w:lvlJc w:val="left"/>
      <w:pPr>
        <w:tabs>
          <w:tab w:val="num" w:pos="4320"/>
        </w:tabs>
        <w:ind w:left="4320" w:hanging="360"/>
      </w:pPr>
      <w:rPr>
        <w:rFonts w:ascii="Wingdings" w:hAnsi="Wingdings" w:hint="default"/>
      </w:rPr>
    </w:lvl>
    <w:lvl w:ilvl="6" w:tplc="C1F6A05E" w:tentative="1">
      <w:start w:val="1"/>
      <w:numFmt w:val="bullet"/>
      <w:lvlText w:val=""/>
      <w:lvlJc w:val="left"/>
      <w:pPr>
        <w:tabs>
          <w:tab w:val="num" w:pos="5040"/>
        </w:tabs>
        <w:ind w:left="5040" w:hanging="360"/>
      </w:pPr>
      <w:rPr>
        <w:rFonts w:ascii="Symbol" w:hAnsi="Symbol" w:hint="default"/>
      </w:rPr>
    </w:lvl>
    <w:lvl w:ilvl="7" w:tplc="BDAAD3A2" w:tentative="1">
      <w:start w:val="1"/>
      <w:numFmt w:val="bullet"/>
      <w:lvlText w:val="o"/>
      <w:lvlJc w:val="left"/>
      <w:pPr>
        <w:tabs>
          <w:tab w:val="num" w:pos="5760"/>
        </w:tabs>
        <w:ind w:left="5760" w:hanging="360"/>
      </w:pPr>
      <w:rPr>
        <w:rFonts w:ascii="Courier New" w:hAnsi="Courier New" w:hint="default"/>
      </w:rPr>
    </w:lvl>
    <w:lvl w:ilvl="8" w:tplc="7A8CB4B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31C4BD84">
      <w:start w:val="1"/>
      <w:numFmt w:val="decimal"/>
      <w:pStyle w:val="References"/>
      <w:lvlText w:val="%1."/>
      <w:lvlJc w:val="left"/>
      <w:pPr>
        <w:tabs>
          <w:tab w:val="num" w:pos="360"/>
        </w:tabs>
        <w:ind w:left="360" w:hanging="360"/>
      </w:pPr>
      <w:rPr>
        <w:rFonts w:hint="default"/>
      </w:rPr>
    </w:lvl>
    <w:lvl w:ilvl="1" w:tplc="11821F5E">
      <w:start w:val="1"/>
      <w:numFmt w:val="lowerLetter"/>
      <w:lvlText w:val="%2."/>
      <w:lvlJc w:val="left"/>
      <w:pPr>
        <w:tabs>
          <w:tab w:val="num" w:pos="1620"/>
        </w:tabs>
        <w:ind w:left="1620" w:hanging="360"/>
      </w:pPr>
    </w:lvl>
    <w:lvl w:ilvl="2" w:tplc="B4A6D92E" w:tentative="1">
      <w:start w:val="1"/>
      <w:numFmt w:val="lowerRoman"/>
      <w:lvlText w:val="%3."/>
      <w:lvlJc w:val="right"/>
      <w:pPr>
        <w:tabs>
          <w:tab w:val="num" w:pos="2340"/>
        </w:tabs>
        <w:ind w:left="2340" w:hanging="180"/>
      </w:pPr>
    </w:lvl>
    <w:lvl w:ilvl="3" w:tplc="6DB8A3A2" w:tentative="1">
      <w:start w:val="1"/>
      <w:numFmt w:val="decimal"/>
      <w:lvlText w:val="%4."/>
      <w:lvlJc w:val="left"/>
      <w:pPr>
        <w:tabs>
          <w:tab w:val="num" w:pos="3060"/>
        </w:tabs>
        <w:ind w:left="3060" w:hanging="360"/>
      </w:pPr>
    </w:lvl>
    <w:lvl w:ilvl="4" w:tplc="1374CF78" w:tentative="1">
      <w:start w:val="1"/>
      <w:numFmt w:val="lowerLetter"/>
      <w:lvlText w:val="%5."/>
      <w:lvlJc w:val="left"/>
      <w:pPr>
        <w:tabs>
          <w:tab w:val="num" w:pos="3780"/>
        </w:tabs>
        <w:ind w:left="3780" w:hanging="360"/>
      </w:pPr>
    </w:lvl>
    <w:lvl w:ilvl="5" w:tplc="E0B048B6" w:tentative="1">
      <w:start w:val="1"/>
      <w:numFmt w:val="lowerRoman"/>
      <w:lvlText w:val="%6."/>
      <w:lvlJc w:val="right"/>
      <w:pPr>
        <w:tabs>
          <w:tab w:val="num" w:pos="4500"/>
        </w:tabs>
        <w:ind w:left="4500" w:hanging="180"/>
      </w:pPr>
    </w:lvl>
    <w:lvl w:ilvl="6" w:tplc="D2BC12C2" w:tentative="1">
      <w:start w:val="1"/>
      <w:numFmt w:val="decimal"/>
      <w:lvlText w:val="%7."/>
      <w:lvlJc w:val="left"/>
      <w:pPr>
        <w:tabs>
          <w:tab w:val="num" w:pos="5220"/>
        </w:tabs>
        <w:ind w:left="5220" w:hanging="360"/>
      </w:pPr>
    </w:lvl>
    <w:lvl w:ilvl="7" w:tplc="F7B69058" w:tentative="1">
      <w:start w:val="1"/>
      <w:numFmt w:val="lowerLetter"/>
      <w:lvlText w:val="%8."/>
      <w:lvlJc w:val="left"/>
      <w:pPr>
        <w:tabs>
          <w:tab w:val="num" w:pos="5940"/>
        </w:tabs>
        <w:ind w:left="5940" w:hanging="360"/>
      </w:pPr>
    </w:lvl>
    <w:lvl w:ilvl="8" w:tplc="2578F560"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8F287AA4">
      <w:start w:val="1"/>
      <w:numFmt w:val="bullet"/>
      <w:lvlText w:val=""/>
      <w:lvlJc w:val="left"/>
      <w:pPr>
        <w:tabs>
          <w:tab w:val="num" w:pos="720"/>
        </w:tabs>
        <w:ind w:left="720" w:hanging="360"/>
      </w:pPr>
      <w:rPr>
        <w:rFonts w:ascii="Symbol" w:hAnsi="Symbol" w:hint="default"/>
      </w:rPr>
    </w:lvl>
    <w:lvl w:ilvl="1" w:tplc="6246B324" w:tentative="1">
      <w:start w:val="1"/>
      <w:numFmt w:val="bullet"/>
      <w:lvlText w:val="o"/>
      <w:lvlJc w:val="left"/>
      <w:pPr>
        <w:tabs>
          <w:tab w:val="num" w:pos="1440"/>
        </w:tabs>
        <w:ind w:left="1440" w:hanging="360"/>
      </w:pPr>
      <w:rPr>
        <w:rFonts w:ascii="Courier New" w:hAnsi="Courier New" w:hint="default"/>
      </w:rPr>
    </w:lvl>
    <w:lvl w:ilvl="2" w:tplc="E40669FE" w:tentative="1">
      <w:start w:val="1"/>
      <w:numFmt w:val="bullet"/>
      <w:lvlText w:val=""/>
      <w:lvlJc w:val="left"/>
      <w:pPr>
        <w:tabs>
          <w:tab w:val="num" w:pos="2160"/>
        </w:tabs>
        <w:ind w:left="2160" w:hanging="360"/>
      </w:pPr>
      <w:rPr>
        <w:rFonts w:ascii="Wingdings" w:hAnsi="Wingdings" w:hint="default"/>
      </w:rPr>
    </w:lvl>
    <w:lvl w:ilvl="3" w:tplc="9670BF04" w:tentative="1">
      <w:start w:val="1"/>
      <w:numFmt w:val="bullet"/>
      <w:lvlText w:val=""/>
      <w:lvlJc w:val="left"/>
      <w:pPr>
        <w:tabs>
          <w:tab w:val="num" w:pos="2880"/>
        </w:tabs>
        <w:ind w:left="2880" w:hanging="360"/>
      </w:pPr>
      <w:rPr>
        <w:rFonts w:ascii="Symbol" w:hAnsi="Symbol" w:hint="default"/>
      </w:rPr>
    </w:lvl>
    <w:lvl w:ilvl="4" w:tplc="A0C674CC" w:tentative="1">
      <w:start w:val="1"/>
      <w:numFmt w:val="bullet"/>
      <w:lvlText w:val="o"/>
      <w:lvlJc w:val="left"/>
      <w:pPr>
        <w:tabs>
          <w:tab w:val="num" w:pos="3600"/>
        </w:tabs>
        <w:ind w:left="3600" w:hanging="360"/>
      </w:pPr>
      <w:rPr>
        <w:rFonts w:ascii="Courier New" w:hAnsi="Courier New" w:hint="default"/>
      </w:rPr>
    </w:lvl>
    <w:lvl w:ilvl="5" w:tplc="5A9EC60E" w:tentative="1">
      <w:start w:val="1"/>
      <w:numFmt w:val="bullet"/>
      <w:lvlText w:val=""/>
      <w:lvlJc w:val="left"/>
      <w:pPr>
        <w:tabs>
          <w:tab w:val="num" w:pos="4320"/>
        </w:tabs>
        <w:ind w:left="4320" w:hanging="360"/>
      </w:pPr>
      <w:rPr>
        <w:rFonts w:ascii="Wingdings" w:hAnsi="Wingdings" w:hint="default"/>
      </w:rPr>
    </w:lvl>
    <w:lvl w:ilvl="6" w:tplc="9D707BC2" w:tentative="1">
      <w:start w:val="1"/>
      <w:numFmt w:val="bullet"/>
      <w:lvlText w:val=""/>
      <w:lvlJc w:val="left"/>
      <w:pPr>
        <w:tabs>
          <w:tab w:val="num" w:pos="5040"/>
        </w:tabs>
        <w:ind w:left="5040" w:hanging="360"/>
      </w:pPr>
      <w:rPr>
        <w:rFonts w:ascii="Symbol" w:hAnsi="Symbol" w:hint="default"/>
      </w:rPr>
    </w:lvl>
    <w:lvl w:ilvl="7" w:tplc="43A80EAA" w:tentative="1">
      <w:start w:val="1"/>
      <w:numFmt w:val="bullet"/>
      <w:lvlText w:val="o"/>
      <w:lvlJc w:val="left"/>
      <w:pPr>
        <w:tabs>
          <w:tab w:val="num" w:pos="5760"/>
        </w:tabs>
        <w:ind w:left="5760" w:hanging="360"/>
      </w:pPr>
      <w:rPr>
        <w:rFonts w:ascii="Courier New" w:hAnsi="Courier New" w:hint="default"/>
      </w:rPr>
    </w:lvl>
    <w:lvl w:ilvl="8" w:tplc="10304E4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3NLQwNTa3NDUzNjNV0lEKTi0uzszPAykwrgUA0zaJOiwAAAA="/>
  </w:docVars>
  <w:rsids>
    <w:rsidRoot w:val="00FA23DE"/>
    <w:rsid w:val="00043885"/>
    <w:rsid w:val="000A0397"/>
    <w:rsid w:val="000C1C38"/>
    <w:rsid w:val="000C2899"/>
    <w:rsid w:val="00100C7C"/>
    <w:rsid w:val="00103DDA"/>
    <w:rsid w:val="00112288"/>
    <w:rsid w:val="00145BE9"/>
    <w:rsid w:val="00156CEE"/>
    <w:rsid w:val="001C2FE2"/>
    <w:rsid w:val="00275303"/>
    <w:rsid w:val="002B2CDE"/>
    <w:rsid w:val="002B709E"/>
    <w:rsid w:val="002D55C8"/>
    <w:rsid w:val="002F11EC"/>
    <w:rsid w:val="003F4E0D"/>
    <w:rsid w:val="0041060D"/>
    <w:rsid w:val="00446108"/>
    <w:rsid w:val="004671E8"/>
    <w:rsid w:val="0047543A"/>
    <w:rsid w:val="004A675F"/>
    <w:rsid w:val="004C048E"/>
    <w:rsid w:val="004C0AA7"/>
    <w:rsid w:val="00515A98"/>
    <w:rsid w:val="00523A5A"/>
    <w:rsid w:val="005A5112"/>
    <w:rsid w:val="006B015A"/>
    <w:rsid w:val="00705778"/>
    <w:rsid w:val="00713711"/>
    <w:rsid w:val="00732F68"/>
    <w:rsid w:val="00736717"/>
    <w:rsid w:val="007370F7"/>
    <w:rsid w:val="0078339A"/>
    <w:rsid w:val="007C5441"/>
    <w:rsid w:val="0080331F"/>
    <w:rsid w:val="00840250"/>
    <w:rsid w:val="00847622"/>
    <w:rsid w:val="008674F6"/>
    <w:rsid w:val="008C3D4F"/>
    <w:rsid w:val="008C4105"/>
    <w:rsid w:val="008C7F8B"/>
    <w:rsid w:val="008E1DC4"/>
    <w:rsid w:val="008E4EDB"/>
    <w:rsid w:val="008F7FD2"/>
    <w:rsid w:val="00920114"/>
    <w:rsid w:val="00921AE3"/>
    <w:rsid w:val="009306A1"/>
    <w:rsid w:val="00960B9E"/>
    <w:rsid w:val="009708C5"/>
    <w:rsid w:val="009B581D"/>
    <w:rsid w:val="009E16C5"/>
    <w:rsid w:val="00A40C23"/>
    <w:rsid w:val="00A467AA"/>
    <w:rsid w:val="00A96D21"/>
    <w:rsid w:val="00AA5DE0"/>
    <w:rsid w:val="00AE0937"/>
    <w:rsid w:val="00AE0DEC"/>
    <w:rsid w:val="00B02B7D"/>
    <w:rsid w:val="00B53DE8"/>
    <w:rsid w:val="00B5441A"/>
    <w:rsid w:val="00B72AA0"/>
    <w:rsid w:val="00B9567C"/>
    <w:rsid w:val="00BC69BE"/>
    <w:rsid w:val="00C16101"/>
    <w:rsid w:val="00CA0507"/>
    <w:rsid w:val="00CD416A"/>
    <w:rsid w:val="00CF4295"/>
    <w:rsid w:val="00D351D8"/>
    <w:rsid w:val="00DA3390"/>
    <w:rsid w:val="00DC69F1"/>
    <w:rsid w:val="00E046B2"/>
    <w:rsid w:val="00E748C9"/>
    <w:rsid w:val="00E9636B"/>
    <w:rsid w:val="00EC2709"/>
    <w:rsid w:val="00EC78A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7C5D3"/>
  <w15:docId w15:val="{3464B782-CC91-4EB4-827A-FD626F9C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lang w:val="en-GB"/>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link w:val="Titolo2Caratter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testo">
    <w:name w:val="Body Text"/>
    <w:basedOn w:val="Normale"/>
    <w:rPr>
      <w:sz w:val="22"/>
    </w:rPr>
  </w:style>
  <w:style w:type="paragraph" w:styleId="Corpodeltesto2">
    <w:name w:val="Body Text 2"/>
    <w:basedOn w:val="Normale"/>
    <w:pPr>
      <w:ind w:firstLine="360"/>
      <w:jc w:val="both"/>
    </w:pPr>
  </w:style>
  <w:style w:type="paragraph" w:styleId="Testodelblocco">
    <w:name w:val="Block Text"/>
    <w:basedOn w:val="Normale"/>
    <w:pPr>
      <w:ind w:left="144" w:right="-86" w:hanging="144"/>
      <w:jc w:val="both"/>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pPr>
      <w:jc w:val="both"/>
    </w:pPr>
  </w:style>
  <w:style w:type="paragraph" w:customStyle="1" w:styleId="para1">
    <w:name w:val="para1"/>
    <w:basedOn w:val="para"/>
    <w:pPr>
      <w:spacing w:before="120"/>
      <w:ind w:firstLine="288"/>
    </w:pPr>
  </w:style>
  <w:style w:type="paragraph" w:styleId="Corpodeltesto3">
    <w:name w:val="Body Text 3"/>
    <w:basedOn w:val="Normale"/>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ientrocorpodeltesto">
    <w:name w:val="Body Text Indent"/>
    <w:basedOn w:val="Normale"/>
    <w:pPr>
      <w:ind w:left="1080" w:hanging="1080"/>
      <w:jc w:val="both"/>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 w:type="character" w:customStyle="1" w:styleId="normaltextrun">
    <w:name w:val="normaltextrun"/>
    <w:basedOn w:val="Carpredefinitoparagrafo"/>
    <w:rsid w:val="00103DDA"/>
  </w:style>
  <w:style w:type="paragraph" w:styleId="Testocommento">
    <w:name w:val="annotation text"/>
    <w:basedOn w:val="Normale"/>
    <w:link w:val="TestocommentoCarattere"/>
    <w:uiPriority w:val="99"/>
    <w:unhideWhenUsed/>
    <w:rsid w:val="00103DDA"/>
    <w:pPr>
      <w:autoSpaceDE w:val="0"/>
      <w:autoSpaceDN w:val="0"/>
      <w:adjustRightInd w:val="0"/>
      <w:spacing w:after="160"/>
      <w:jc w:val="both"/>
    </w:pPr>
    <w:rPr>
      <w:rFonts w:eastAsiaTheme="minorHAnsi"/>
      <w:lang w:val="en-US"/>
    </w:rPr>
  </w:style>
  <w:style w:type="character" w:customStyle="1" w:styleId="TestocommentoCarattere">
    <w:name w:val="Testo commento Carattere"/>
    <w:basedOn w:val="Carpredefinitoparagrafo"/>
    <w:link w:val="Testocommento"/>
    <w:uiPriority w:val="99"/>
    <w:rsid w:val="00103DDA"/>
    <w:rPr>
      <w:rFonts w:ascii="Times New Roman" w:eastAsiaTheme="minorHAnsi" w:hAnsi="Times New Roman"/>
    </w:rPr>
  </w:style>
  <w:style w:type="paragraph" w:styleId="Testonotaapidipagina">
    <w:name w:val="footnote text"/>
    <w:basedOn w:val="Normale"/>
    <w:link w:val="TestonotaapidipaginaCarattere"/>
    <w:uiPriority w:val="99"/>
    <w:unhideWhenUsed/>
    <w:rsid w:val="00103DDA"/>
    <w:pPr>
      <w:autoSpaceDE w:val="0"/>
      <w:autoSpaceDN w:val="0"/>
      <w:adjustRightInd w:val="0"/>
      <w:jc w:val="both"/>
    </w:pPr>
    <w:rPr>
      <w:rFonts w:eastAsiaTheme="minorHAnsi"/>
      <w:lang w:val="en-US"/>
    </w:rPr>
  </w:style>
  <w:style w:type="character" w:customStyle="1" w:styleId="TestonotaapidipaginaCarattere">
    <w:name w:val="Testo nota a piè di pagina Carattere"/>
    <w:basedOn w:val="Carpredefinitoparagrafo"/>
    <w:link w:val="Testonotaapidipagina"/>
    <w:uiPriority w:val="99"/>
    <w:rsid w:val="00103DDA"/>
    <w:rPr>
      <w:rFonts w:ascii="Times New Roman" w:eastAsiaTheme="minorHAnsi" w:hAnsi="Times New Roman"/>
    </w:rPr>
  </w:style>
  <w:style w:type="character" w:styleId="Rimandonotaapidipagina">
    <w:name w:val="footnote reference"/>
    <w:basedOn w:val="Carpredefinitoparagrafo"/>
    <w:uiPriority w:val="99"/>
    <w:semiHidden/>
    <w:unhideWhenUsed/>
    <w:rsid w:val="00103DDA"/>
    <w:rPr>
      <w:vertAlign w:val="superscript"/>
    </w:rPr>
  </w:style>
  <w:style w:type="paragraph" w:styleId="Didascalia">
    <w:name w:val="caption"/>
    <w:basedOn w:val="Normale"/>
    <w:next w:val="Normale"/>
    <w:uiPriority w:val="35"/>
    <w:unhideWhenUsed/>
    <w:qFormat/>
    <w:rsid w:val="00103DDA"/>
    <w:pPr>
      <w:autoSpaceDE w:val="0"/>
      <w:autoSpaceDN w:val="0"/>
      <w:adjustRightInd w:val="0"/>
      <w:spacing w:after="200"/>
      <w:jc w:val="center"/>
    </w:pPr>
    <w:rPr>
      <w:rFonts w:eastAsiaTheme="minorHAnsi"/>
      <w:iCs/>
      <w:szCs w:val="18"/>
      <w:lang w:val="en-US"/>
    </w:rPr>
  </w:style>
  <w:style w:type="character" w:styleId="Rimandocommento">
    <w:name w:val="annotation reference"/>
    <w:basedOn w:val="Carpredefinitoparagrafo"/>
    <w:uiPriority w:val="99"/>
    <w:semiHidden/>
    <w:unhideWhenUsed/>
    <w:rsid w:val="00103DDA"/>
    <w:rPr>
      <w:sz w:val="16"/>
      <w:szCs w:val="16"/>
    </w:rPr>
  </w:style>
  <w:style w:type="paragraph" w:styleId="Testofumetto">
    <w:name w:val="Balloon Text"/>
    <w:basedOn w:val="Normale"/>
    <w:link w:val="TestofumettoCarattere"/>
    <w:rsid w:val="00103DDA"/>
    <w:rPr>
      <w:rFonts w:ascii="Segoe UI" w:hAnsi="Segoe UI" w:cs="Segoe UI"/>
      <w:sz w:val="18"/>
      <w:szCs w:val="18"/>
    </w:rPr>
  </w:style>
  <w:style w:type="character" w:customStyle="1" w:styleId="TestofumettoCarattere">
    <w:name w:val="Testo fumetto Carattere"/>
    <w:basedOn w:val="Carpredefinitoparagrafo"/>
    <w:link w:val="Testofumetto"/>
    <w:rsid w:val="00103DDA"/>
    <w:rPr>
      <w:rFonts w:ascii="Segoe UI" w:hAnsi="Segoe UI" w:cs="Segoe UI"/>
      <w:sz w:val="18"/>
      <w:szCs w:val="18"/>
      <w:lang w:val="en-GB"/>
    </w:rPr>
  </w:style>
  <w:style w:type="table" w:styleId="Grigliatabella">
    <w:name w:val="Table Grid"/>
    <w:basedOn w:val="Tabellanormale"/>
    <w:rsid w:val="008E4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D416A"/>
    <w:pPr>
      <w:autoSpaceDE w:val="0"/>
      <w:autoSpaceDN w:val="0"/>
      <w:adjustRightInd w:val="0"/>
      <w:spacing w:after="160" w:line="276" w:lineRule="auto"/>
      <w:ind w:left="720"/>
      <w:contextualSpacing/>
      <w:jc w:val="both"/>
    </w:pPr>
    <w:rPr>
      <w:rFonts w:eastAsiaTheme="minorHAnsi"/>
      <w:sz w:val="22"/>
      <w:szCs w:val="22"/>
      <w:lang w:val="en-US"/>
    </w:rPr>
  </w:style>
  <w:style w:type="character" w:customStyle="1" w:styleId="UnresolvedMention1">
    <w:name w:val="Unresolved Mention1"/>
    <w:basedOn w:val="Carpredefinitoparagrafo"/>
    <w:uiPriority w:val="99"/>
    <w:semiHidden/>
    <w:unhideWhenUsed/>
    <w:rsid w:val="00EC2709"/>
    <w:rPr>
      <w:color w:val="605E5C"/>
      <w:shd w:val="clear" w:color="auto" w:fill="E1DFDD"/>
    </w:rPr>
  </w:style>
  <w:style w:type="paragraph" w:styleId="Soggettocommento">
    <w:name w:val="annotation subject"/>
    <w:basedOn w:val="Testocommento"/>
    <w:next w:val="Testocommento"/>
    <w:link w:val="SoggettocommentoCarattere"/>
    <w:semiHidden/>
    <w:unhideWhenUsed/>
    <w:rsid w:val="007370F7"/>
    <w:pPr>
      <w:autoSpaceDE/>
      <w:autoSpaceDN/>
      <w:adjustRightInd/>
      <w:spacing w:after="0"/>
      <w:jc w:val="left"/>
    </w:pPr>
    <w:rPr>
      <w:rFonts w:eastAsia="Times New Roman"/>
      <w:b/>
      <w:bCs/>
      <w:lang w:val="en-GB"/>
    </w:rPr>
  </w:style>
  <w:style w:type="character" w:customStyle="1" w:styleId="SoggettocommentoCarattere">
    <w:name w:val="Soggetto commento Carattere"/>
    <w:basedOn w:val="TestocommentoCarattere"/>
    <w:link w:val="Soggettocommento"/>
    <w:semiHidden/>
    <w:rsid w:val="007370F7"/>
    <w:rPr>
      <w:rFonts w:ascii="Times New Roman" w:eastAsiaTheme="minorHAnsi" w:hAnsi="Times New Roman"/>
      <w:b/>
      <w:bCs/>
      <w:lang w:val="en-GB"/>
    </w:rPr>
  </w:style>
  <w:style w:type="character" w:customStyle="1" w:styleId="Titolo2Carattere">
    <w:name w:val="Titolo 2 Carattere"/>
    <w:basedOn w:val="Carpredefinitoparagrafo"/>
    <w:link w:val="Titolo2"/>
    <w:rsid w:val="00AE0937"/>
    <w:rPr>
      <w:rFonts w:ascii="Arial" w:hAnsi="Arial"/>
      <w:b/>
      <w:i/>
      <w:sz w:val="22"/>
      <w:lang w:val="en-GB"/>
    </w:rPr>
  </w:style>
  <w:style w:type="paragraph" w:styleId="NormaleWeb">
    <w:name w:val="Normal (Web)"/>
    <w:basedOn w:val="Normale"/>
    <w:uiPriority w:val="99"/>
    <w:unhideWhenUsed/>
    <w:rsid w:val="00B5441A"/>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anzl@eeg.tuwien.ac.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hatova@eeg.tuwien.ac.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8D0D6AF2ADDD4E9A18C37DBD6B196B" ma:contentTypeVersion="12" ma:contentTypeDescription="Ein neues Dokument erstellen." ma:contentTypeScope="" ma:versionID="53181452f4419dd7570cdf2d83d1ebfe">
  <xsd:schema xmlns:xsd="http://www.w3.org/2001/XMLSchema" xmlns:xs="http://www.w3.org/2001/XMLSchema" xmlns:p="http://schemas.microsoft.com/office/2006/metadata/properties" xmlns:ns3="8576b0f3-414f-486c-9b93-e35f621c6b6e" xmlns:ns4="82104295-4188-4179-b468-53a4657c3cf1" targetNamespace="http://schemas.microsoft.com/office/2006/metadata/properties" ma:root="true" ma:fieldsID="fbb6bf1bb5c96535f6ba776a4c7681aa" ns3:_="" ns4:_="">
    <xsd:import namespace="8576b0f3-414f-486c-9b93-e35f621c6b6e"/>
    <xsd:import namespace="82104295-4188-4179-b468-53a4657c3c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6b0f3-414f-486c-9b93-e35f621c6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04295-4188-4179-b468-53a4657c3cf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BC9D05B-57B1-43C4-A904-EE1337F28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6b0f3-414f-486c-9b93-e35f621c6b6e"/>
    <ds:schemaRef ds:uri="82104295-4188-4179-b468-53a4657c3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53BF1-81A5-43ED-BF20-0404D03251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62726-AA46-4B9C-8DEA-57322FC8306D}">
  <ds:schemaRefs>
    <ds:schemaRef ds:uri="http://schemas.microsoft.com/sharepoint/v3/contenttype/forms"/>
  </ds:schemaRefs>
</ds:datastoreItem>
</file>

<file path=customXml/itemProps4.xml><?xml version="1.0" encoding="utf-8"?>
<ds:datastoreItem xmlns:ds="http://schemas.openxmlformats.org/officeDocument/2006/customXml" ds:itemID="{10671149-54C4-4C23-985D-B6D6CAD4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5682</Words>
  <Characters>32389</Characters>
  <Application>Microsoft Office Word</Application>
  <DocSecurity>0</DocSecurity>
  <Lines>269</Lines>
  <Paragraphs>75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Naslov</vt:lpstr>
      </vt:variant>
      <vt:variant>
        <vt:i4>1</vt:i4>
      </vt:variant>
    </vt:vector>
  </HeadingPairs>
  <TitlesOfParts>
    <vt:vector size="4" baseType="lpstr">
      <vt:lpstr/>
      <vt:lpstr/>
      <vt:lpstr/>
      <vt:lpstr>       </vt:lpstr>
    </vt:vector>
  </TitlesOfParts>
  <Company>Ekonomska fakulteta</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segreteria</cp:lastModifiedBy>
  <cp:revision>2</cp:revision>
  <cp:lastPrinted>2022-04-18T21:45:00Z</cp:lastPrinted>
  <dcterms:created xsi:type="dcterms:W3CDTF">2023-04-06T15:58:00Z</dcterms:created>
  <dcterms:modified xsi:type="dcterms:W3CDTF">2023-04-06T15:58:00Z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0x010100CA8D0D6AF2ADDD4E9A18C37DBD6B196B</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http://www.zotero.org/styles/energies</vt:lpwstr>
  </property>
  <property fmtid="{D5CDD505-2E9C-101B-9397-08002B2CF9AE}" pid="10" name="Mendeley Recent Style Name 3_1">
    <vt:lpwstr>Energies</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http://www.zotero.org/styles/renewable-and-sustainable-energy-reviews</vt:lpwstr>
  </property>
  <property fmtid="{D5CDD505-2E9C-101B-9397-08002B2CF9AE}" pid="20" name="Mendeley Recent Style Name 8_1">
    <vt:lpwstr>Renewable and Sustainable Energy Reviews</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237fe83d-12e6-3689-b48f-8077a718e52a</vt:lpwstr>
  </property>
  <property fmtid="{D5CDD505-2E9C-101B-9397-08002B2CF9AE}" pid="25" name="Mendeley Citation Style_1">
    <vt:lpwstr>http://www.zotero.org/styles/renewable-and-sustainable-energy-reviews</vt:lpwstr>
  </property>
  <property fmtid="{D5CDD505-2E9C-101B-9397-08002B2CF9AE}" pid="26" name="GrammarlyDocumentId">
    <vt:lpwstr>910b4b8eeb33f021c07ebe667e32dbf82b90f2997b0cd3bcdf029af3a7ca807f</vt:lpwstr>
  </property>
</Properties>
</file>