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26D96" w14:textId="55AA9256" w:rsidR="00A643CF" w:rsidRPr="0084633D" w:rsidRDefault="0084633D" w:rsidP="00A643CF">
      <w:pPr>
        <w:widowControl w:val="0"/>
        <w:autoSpaceDE w:val="0"/>
        <w:autoSpaceDN w:val="0"/>
        <w:adjustRightInd w:val="0"/>
        <w:spacing w:after="0" w:line="240" w:lineRule="auto"/>
        <w:rPr>
          <w:rFonts w:ascii="Times New Roman" w:hAnsi="Times New Roman" w:cs="Times New Roman"/>
          <w:sz w:val="24"/>
          <w:szCs w:val="24"/>
          <w:lang w:val="es-CL"/>
        </w:rPr>
      </w:pPr>
      <w:bookmarkStart w:id="0" w:name="page2"/>
      <w:bookmarkStart w:id="1" w:name="_GoBack"/>
      <w:bookmarkEnd w:id="0"/>
      <w:bookmarkEnd w:id="1"/>
      <w:r w:rsidRPr="0084633D">
        <w:rPr>
          <w:rFonts w:ascii="Times" w:hAnsi="Times" w:cs="Times"/>
          <w:b/>
          <w:bCs/>
          <w:i/>
          <w:iCs/>
          <w:sz w:val="19"/>
          <w:szCs w:val="19"/>
          <w:lang w:val="es-CL"/>
        </w:rPr>
        <w:t xml:space="preserve">Lucas De La Fuente </w:t>
      </w:r>
      <w:r w:rsidR="00A643CF" w:rsidRPr="0084633D">
        <w:rPr>
          <w:rFonts w:ascii="Times" w:hAnsi="Times" w:cs="Times"/>
          <w:b/>
          <w:bCs/>
          <w:i/>
          <w:iCs/>
          <w:sz w:val="19"/>
          <w:szCs w:val="19"/>
          <w:lang w:val="es-CL"/>
        </w:rPr>
        <w:t xml:space="preserve">and </w:t>
      </w:r>
      <w:r w:rsidRPr="00CC6546">
        <w:rPr>
          <w:rFonts w:ascii="Times" w:hAnsi="Times" w:cs="Times"/>
          <w:b/>
          <w:bCs/>
          <w:i/>
          <w:iCs/>
          <w:sz w:val="19"/>
          <w:szCs w:val="19"/>
          <w:lang w:val="en-US"/>
        </w:rPr>
        <w:t>Profes</w:t>
      </w:r>
      <w:r w:rsidR="00301E5C" w:rsidRPr="00CC6546">
        <w:rPr>
          <w:rFonts w:ascii="Times" w:hAnsi="Times" w:cs="Times"/>
          <w:b/>
          <w:bCs/>
          <w:i/>
          <w:iCs/>
          <w:sz w:val="19"/>
          <w:szCs w:val="19"/>
          <w:lang w:val="en-US"/>
        </w:rPr>
        <w:t>s</w:t>
      </w:r>
      <w:r w:rsidRPr="00CC6546">
        <w:rPr>
          <w:rFonts w:ascii="Times" w:hAnsi="Times" w:cs="Times"/>
          <w:b/>
          <w:bCs/>
          <w:i/>
          <w:iCs/>
          <w:sz w:val="19"/>
          <w:szCs w:val="19"/>
          <w:lang w:val="en-US"/>
        </w:rPr>
        <w:t>or</w:t>
      </w:r>
      <w:r w:rsidRPr="0084633D">
        <w:rPr>
          <w:rFonts w:ascii="Times" w:hAnsi="Times" w:cs="Times"/>
          <w:b/>
          <w:bCs/>
          <w:i/>
          <w:iCs/>
          <w:sz w:val="19"/>
          <w:szCs w:val="19"/>
          <w:lang w:val="es-CL"/>
        </w:rPr>
        <w:t xml:space="preserve"> Dominik Möst</w:t>
      </w:r>
    </w:p>
    <w:p w14:paraId="61C2FAF7" w14:textId="77777777" w:rsidR="00A643CF" w:rsidRPr="0084633D" w:rsidRDefault="00A643CF" w:rsidP="00A643CF">
      <w:pPr>
        <w:widowControl w:val="0"/>
        <w:autoSpaceDE w:val="0"/>
        <w:autoSpaceDN w:val="0"/>
        <w:adjustRightInd w:val="0"/>
        <w:spacing w:after="0" w:line="5" w:lineRule="exact"/>
        <w:rPr>
          <w:rFonts w:ascii="Times New Roman" w:hAnsi="Times New Roman" w:cs="Times New Roman"/>
          <w:sz w:val="24"/>
          <w:szCs w:val="24"/>
          <w:lang w:val="es-CL"/>
        </w:rPr>
      </w:pPr>
    </w:p>
    <w:p w14:paraId="1022D004" w14:textId="4D04AC31" w:rsidR="00A643CF" w:rsidRPr="0061475B" w:rsidRDefault="00915F73" w:rsidP="00A643CF">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CHANGES IN GERMAN PIPELINE RETROFITTING POTENTIAL </w:t>
      </w:r>
      <w:r w:rsidR="004A2FE3">
        <w:rPr>
          <w:rFonts w:ascii="Times New Roman" w:hAnsi="Times New Roman" w:cs="Times New Roman"/>
          <w:b/>
          <w:bCs/>
          <w:sz w:val="28"/>
          <w:szCs w:val="28"/>
          <w:lang w:val="en-US"/>
        </w:rPr>
        <w:t xml:space="preserve">AFTER THE </w:t>
      </w:r>
      <w:r w:rsidR="00AC48E7">
        <w:rPr>
          <w:rFonts w:ascii="Times New Roman" w:hAnsi="Times New Roman" w:cs="Times New Roman"/>
          <w:b/>
          <w:bCs/>
          <w:sz w:val="28"/>
          <w:szCs w:val="28"/>
          <w:lang w:val="en-US"/>
        </w:rPr>
        <w:t>RUSSIAN INVASION OF UKRAINE</w:t>
      </w:r>
    </w:p>
    <w:p w14:paraId="2292EDB7" w14:textId="77777777" w:rsidR="00A643CF" w:rsidRPr="00A643CF" w:rsidRDefault="00A643CF" w:rsidP="00A643CF">
      <w:pPr>
        <w:widowControl w:val="0"/>
        <w:autoSpaceDE w:val="0"/>
        <w:autoSpaceDN w:val="0"/>
        <w:adjustRightInd w:val="0"/>
        <w:spacing w:after="0" w:line="219" w:lineRule="exact"/>
        <w:rPr>
          <w:rFonts w:ascii="Times New Roman" w:hAnsi="Times New Roman" w:cs="Times New Roman"/>
          <w:sz w:val="24"/>
          <w:szCs w:val="24"/>
          <w:lang w:val="en-US"/>
        </w:rPr>
      </w:pPr>
    </w:p>
    <w:p w14:paraId="078C0FA6" w14:textId="4ECDA5C3" w:rsidR="0061475B" w:rsidRPr="007D0D60" w:rsidRDefault="0084633D" w:rsidP="00A643CF">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lang w:val="en-US"/>
        </w:rPr>
      </w:pPr>
      <w:r w:rsidRPr="007D0D60">
        <w:rPr>
          <w:rFonts w:ascii="Times New Roman" w:hAnsi="Times New Roman" w:cs="Times New Roman"/>
          <w:sz w:val="20"/>
          <w:szCs w:val="20"/>
          <w:lang w:val="en-US"/>
        </w:rPr>
        <w:t>Lucas De La Fuente</w:t>
      </w:r>
      <w:r w:rsidR="0061475B" w:rsidRPr="007D0D60">
        <w:rPr>
          <w:rFonts w:ascii="Times New Roman" w:hAnsi="Times New Roman" w:cs="Times New Roman"/>
          <w:sz w:val="20"/>
          <w:szCs w:val="20"/>
          <w:lang w:val="en-US"/>
        </w:rPr>
        <w:t>,</w:t>
      </w:r>
      <w:r w:rsidR="00A643CF" w:rsidRPr="007D0D60">
        <w:rPr>
          <w:rFonts w:ascii="Times New Roman" w:hAnsi="Times New Roman" w:cs="Times New Roman"/>
          <w:sz w:val="20"/>
          <w:szCs w:val="20"/>
          <w:lang w:val="en-US"/>
        </w:rPr>
        <w:t xml:space="preserve"> </w:t>
      </w:r>
      <w:r w:rsidR="00DF73E6" w:rsidRPr="007D0D60">
        <w:rPr>
          <w:rFonts w:ascii="Times New Roman" w:hAnsi="Times New Roman" w:cs="Times New Roman"/>
          <w:sz w:val="20"/>
          <w:szCs w:val="20"/>
          <w:lang w:val="en-US"/>
        </w:rPr>
        <w:t>Technische Universität Dresden</w:t>
      </w:r>
      <w:r w:rsidRPr="007D0D60">
        <w:rPr>
          <w:rFonts w:ascii="Times New Roman" w:hAnsi="Times New Roman" w:cs="Times New Roman"/>
          <w:sz w:val="20"/>
          <w:szCs w:val="20"/>
          <w:lang w:val="en-US"/>
        </w:rPr>
        <w:t>,</w:t>
      </w:r>
    </w:p>
    <w:p w14:paraId="16D5E9E5" w14:textId="5B9BEAD0" w:rsidR="0084633D" w:rsidRPr="0061475B" w:rsidRDefault="0084633D" w:rsidP="00A643CF">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lang w:val="en-US"/>
        </w:rPr>
      </w:pPr>
      <w:r w:rsidRPr="0061475B">
        <w:rPr>
          <w:rFonts w:ascii="Times New Roman" w:hAnsi="Times New Roman" w:cs="Times New Roman"/>
          <w:sz w:val="20"/>
          <w:szCs w:val="20"/>
          <w:lang w:val="en-US"/>
        </w:rPr>
        <w:t>Faculty of Business and Economics</w:t>
      </w:r>
    </w:p>
    <w:p w14:paraId="3B0CFCD1" w14:textId="77777777" w:rsidR="0084633D" w:rsidRPr="0061475B" w:rsidRDefault="0084633D" w:rsidP="00A643CF">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lang w:val="en-US"/>
        </w:rPr>
      </w:pPr>
      <w:r w:rsidRPr="0061475B">
        <w:rPr>
          <w:rFonts w:ascii="Times New Roman" w:hAnsi="Times New Roman" w:cs="Times New Roman"/>
          <w:sz w:val="20"/>
          <w:szCs w:val="20"/>
          <w:lang w:val="en-US"/>
        </w:rPr>
        <w:t>Chair of Business Administration, esp. Energy Economics</w:t>
      </w:r>
    </w:p>
    <w:p w14:paraId="3F2B6536" w14:textId="0F57E7B9" w:rsidR="0084633D" w:rsidRPr="0061475B" w:rsidRDefault="0084633D" w:rsidP="00A643CF">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rPr>
      </w:pPr>
      <w:r w:rsidRPr="0061475B">
        <w:rPr>
          <w:rFonts w:ascii="Times New Roman" w:hAnsi="Times New Roman" w:cs="Times New Roman"/>
          <w:sz w:val="20"/>
          <w:szCs w:val="20"/>
        </w:rPr>
        <w:t>Münchner Platz 3, 01069 Dresden, German</w:t>
      </w:r>
      <w:r w:rsidR="0061475B">
        <w:rPr>
          <w:rFonts w:ascii="Times New Roman" w:hAnsi="Times New Roman" w:cs="Times New Roman"/>
          <w:sz w:val="20"/>
          <w:szCs w:val="20"/>
        </w:rPr>
        <w:t>y</w:t>
      </w:r>
    </w:p>
    <w:p w14:paraId="34155AD7" w14:textId="43A66950" w:rsidR="0061475B" w:rsidRPr="0061475B" w:rsidRDefault="0061475B" w:rsidP="00A643CF">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lang w:val="en-US"/>
        </w:rPr>
      </w:pPr>
      <w:r w:rsidRPr="0061475B">
        <w:rPr>
          <w:rFonts w:ascii="Times New Roman" w:hAnsi="Times New Roman" w:cs="Times New Roman"/>
          <w:sz w:val="20"/>
          <w:szCs w:val="20"/>
          <w:lang w:val="en-US"/>
        </w:rPr>
        <w:t>Phone: + 49 351 463 39766</w:t>
      </w:r>
    </w:p>
    <w:p w14:paraId="79B64B29" w14:textId="65987201" w:rsidR="00A643CF" w:rsidRPr="00301E5C" w:rsidRDefault="0061475B" w:rsidP="00A643CF">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lang w:val="en-US"/>
        </w:rPr>
      </w:pPr>
      <w:r w:rsidRPr="0061475B">
        <w:rPr>
          <w:rFonts w:ascii="Times New Roman" w:hAnsi="Times New Roman" w:cs="Times New Roman"/>
          <w:sz w:val="20"/>
          <w:szCs w:val="20"/>
          <w:lang w:val="en-US"/>
        </w:rPr>
        <w:t>Email:</w:t>
      </w:r>
      <w:r w:rsidR="0084633D" w:rsidRPr="0061475B">
        <w:rPr>
          <w:rFonts w:ascii="Times New Roman" w:hAnsi="Times New Roman" w:cs="Times New Roman"/>
          <w:sz w:val="20"/>
          <w:szCs w:val="20"/>
          <w:lang w:val="en-US"/>
        </w:rPr>
        <w:t xml:space="preserve"> </w:t>
      </w:r>
      <w:hyperlink r:id="rId5" w:history="1">
        <w:r w:rsidR="00301E5C">
          <w:rPr>
            <w:rStyle w:val="Collegamentoipertestuale"/>
            <w:rFonts w:ascii="Times New Roman" w:hAnsi="Times New Roman" w:cs="Times New Roman"/>
            <w:sz w:val="20"/>
            <w:szCs w:val="20"/>
            <w:lang w:val="en-US"/>
          </w:rPr>
          <w:t>l</w:t>
        </w:r>
        <w:r w:rsidR="0084633D" w:rsidRPr="0061475B">
          <w:rPr>
            <w:rStyle w:val="Collegamentoipertestuale"/>
            <w:rFonts w:ascii="Times New Roman" w:hAnsi="Times New Roman" w:cs="Times New Roman"/>
            <w:sz w:val="20"/>
            <w:szCs w:val="20"/>
            <w:lang w:val="en-US"/>
          </w:rPr>
          <w:t>ucas.delafuente@tu-dresden.de</w:t>
        </w:r>
      </w:hyperlink>
    </w:p>
    <w:p w14:paraId="7ECDBD88" w14:textId="35ED145A" w:rsidR="0061475B" w:rsidRPr="00301E5C" w:rsidRDefault="0061475B" w:rsidP="00A643CF">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lang w:val="en-US"/>
        </w:rPr>
      </w:pPr>
    </w:p>
    <w:p w14:paraId="5F4215D4" w14:textId="49728F5D" w:rsidR="0061475B" w:rsidRPr="00DF73E6" w:rsidRDefault="0061475B" w:rsidP="0061475B">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rPr>
      </w:pPr>
      <w:r w:rsidRPr="00DF73E6">
        <w:rPr>
          <w:rFonts w:ascii="Times New Roman" w:hAnsi="Times New Roman" w:cs="Times New Roman"/>
          <w:sz w:val="20"/>
          <w:szCs w:val="20"/>
        </w:rPr>
        <w:t xml:space="preserve">Professor </w:t>
      </w:r>
      <w:proofErr w:type="spellStart"/>
      <w:r w:rsidRPr="00DF73E6">
        <w:rPr>
          <w:rFonts w:ascii="Times New Roman" w:hAnsi="Times New Roman" w:cs="Times New Roman"/>
          <w:sz w:val="20"/>
          <w:szCs w:val="20"/>
        </w:rPr>
        <w:t>Domink</w:t>
      </w:r>
      <w:proofErr w:type="spellEnd"/>
      <w:r w:rsidRPr="00DF73E6">
        <w:rPr>
          <w:rFonts w:ascii="Times New Roman" w:hAnsi="Times New Roman" w:cs="Times New Roman"/>
          <w:sz w:val="20"/>
          <w:szCs w:val="20"/>
        </w:rPr>
        <w:t xml:space="preserve"> </w:t>
      </w:r>
      <w:proofErr w:type="spellStart"/>
      <w:r w:rsidRPr="00DF73E6">
        <w:rPr>
          <w:rFonts w:ascii="Times New Roman" w:hAnsi="Times New Roman" w:cs="Times New Roman"/>
          <w:sz w:val="20"/>
          <w:szCs w:val="20"/>
        </w:rPr>
        <w:t>Möst</w:t>
      </w:r>
      <w:proofErr w:type="spellEnd"/>
      <w:r w:rsidRPr="00DF73E6">
        <w:rPr>
          <w:rFonts w:ascii="Times New Roman" w:hAnsi="Times New Roman" w:cs="Times New Roman"/>
          <w:sz w:val="20"/>
          <w:szCs w:val="20"/>
        </w:rPr>
        <w:t xml:space="preserve">, </w:t>
      </w:r>
      <w:r w:rsidR="00DF73E6" w:rsidRPr="00DF73E6">
        <w:rPr>
          <w:rFonts w:ascii="Times New Roman" w:hAnsi="Times New Roman" w:cs="Times New Roman"/>
          <w:sz w:val="20"/>
          <w:szCs w:val="20"/>
        </w:rPr>
        <w:t>Technische Universität Dresden</w:t>
      </w:r>
      <w:r w:rsidRPr="00DF73E6">
        <w:rPr>
          <w:rFonts w:ascii="Times New Roman" w:hAnsi="Times New Roman" w:cs="Times New Roman"/>
          <w:sz w:val="20"/>
          <w:szCs w:val="20"/>
        </w:rPr>
        <w:t>,</w:t>
      </w:r>
    </w:p>
    <w:p w14:paraId="23EFB304" w14:textId="7085FCD9" w:rsidR="0061475B" w:rsidRPr="0061475B" w:rsidRDefault="0061475B" w:rsidP="0061475B">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lang w:val="en-US"/>
        </w:rPr>
      </w:pPr>
      <w:r w:rsidRPr="0061475B">
        <w:rPr>
          <w:rFonts w:ascii="Times New Roman" w:hAnsi="Times New Roman" w:cs="Times New Roman"/>
          <w:sz w:val="20"/>
          <w:szCs w:val="20"/>
          <w:lang w:val="en-US"/>
        </w:rPr>
        <w:t>Faculty of Business and Economics</w:t>
      </w:r>
    </w:p>
    <w:p w14:paraId="3DB374E6" w14:textId="77777777" w:rsidR="0061475B" w:rsidRPr="0061475B" w:rsidRDefault="0061475B" w:rsidP="0061475B">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rPr>
      </w:pPr>
      <w:r w:rsidRPr="0061475B">
        <w:rPr>
          <w:rFonts w:ascii="Times New Roman" w:hAnsi="Times New Roman" w:cs="Times New Roman"/>
          <w:sz w:val="20"/>
          <w:szCs w:val="20"/>
          <w:lang w:val="en-US"/>
        </w:rPr>
        <w:t xml:space="preserve">Chair of Business Administration, esp. </w:t>
      </w:r>
      <w:r w:rsidRPr="0061475B">
        <w:rPr>
          <w:rFonts w:ascii="Times New Roman" w:hAnsi="Times New Roman" w:cs="Times New Roman"/>
          <w:sz w:val="20"/>
          <w:szCs w:val="20"/>
        </w:rPr>
        <w:t>Energy Economics</w:t>
      </w:r>
    </w:p>
    <w:p w14:paraId="28986A3B" w14:textId="2340FDDE" w:rsidR="0061475B" w:rsidRPr="0061475B" w:rsidRDefault="0061475B" w:rsidP="0061475B">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rPr>
      </w:pPr>
      <w:r w:rsidRPr="0061475B">
        <w:rPr>
          <w:rFonts w:ascii="Times New Roman" w:hAnsi="Times New Roman" w:cs="Times New Roman"/>
          <w:sz w:val="20"/>
          <w:szCs w:val="20"/>
        </w:rPr>
        <w:t>Münchner Platz 3, 01069 Dresden, German</w:t>
      </w:r>
      <w:r>
        <w:rPr>
          <w:rFonts w:ascii="Times New Roman" w:hAnsi="Times New Roman" w:cs="Times New Roman"/>
          <w:sz w:val="20"/>
          <w:szCs w:val="20"/>
        </w:rPr>
        <w:t>y</w:t>
      </w:r>
    </w:p>
    <w:p w14:paraId="7A3028A1" w14:textId="5964BFEB" w:rsidR="0061475B" w:rsidRPr="0061475B" w:rsidRDefault="0061475B" w:rsidP="0061475B">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lang w:val="en-US"/>
        </w:rPr>
      </w:pPr>
      <w:r w:rsidRPr="0061475B">
        <w:rPr>
          <w:rFonts w:ascii="Times New Roman" w:hAnsi="Times New Roman" w:cs="Times New Roman"/>
          <w:sz w:val="20"/>
          <w:szCs w:val="20"/>
          <w:lang w:val="en-US"/>
        </w:rPr>
        <w:t>Phone: + 49 351 463 39770</w:t>
      </w:r>
    </w:p>
    <w:p w14:paraId="2493A878" w14:textId="13B689BE" w:rsidR="0061475B" w:rsidRPr="0061475B" w:rsidRDefault="0061475B" w:rsidP="0061475B">
      <w:pPr>
        <w:widowControl w:val="0"/>
        <w:overflowPunct w:val="0"/>
        <w:autoSpaceDE w:val="0"/>
        <w:autoSpaceDN w:val="0"/>
        <w:adjustRightInd w:val="0"/>
        <w:spacing w:after="0" w:line="240" w:lineRule="auto"/>
        <w:ind w:left="2560" w:right="40"/>
        <w:jc w:val="right"/>
        <w:rPr>
          <w:rFonts w:ascii="Times New Roman" w:hAnsi="Times New Roman" w:cs="Times New Roman"/>
          <w:sz w:val="20"/>
          <w:szCs w:val="20"/>
          <w:lang w:val="en-US"/>
        </w:rPr>
      </w:pPr>
      <w:r w:rsidRPr="0061475B">
        <w:rPr>
          <w:rFonts w:ascii="Times New Roman" w:hAnsi="Times New Roman" w:cs="Times New Roman"/>
          <w:sz w:val="20"/>
          <w:szCs w:val="20"/>
          <w:lang w:val="en-US"/>
        </w:rPr>
        <w:t xml:space="preserve">Email: </w:t>
      </w:r>
      <w:hyperlink r:id="rId6" w:history="1">
        <w:r w:rsidR="00301E5C" w:rsidRPr="007E0781">
          <w:rPr>
            <w:rStyle w:val="Collegamentoipertestuale"/>
            <w:rFonts w:ascii="Times New Roman" w:hAnsi="Times New Roman" w:cs="Times New Roman"/>
            <w:sz w:val="20"/>
            <w:szCs w:val="20"/>
            <w:lang w:val="en-US"/>
          </w:rPr>
          <w:t>dominik.moest@tu-dresden.de</w:t>
        </w:r>
      </w:hyperlink>
    </w:p>
    <w:p w14:paraId="24997792" w14:textId="77777777" w:rsidR="0061475B" w:rsidRPr="0061475B" w:rsidRDefault="0061475B" w:rsidP="00A643CF">
      <w:pPr>
        <w:widowControl w:val="0"/>
        <w:autoSpaceDE w:val="0"/>
        <w:autoSpaceDN w:val="0"/>
        <w:adjustRightInd w:val="0"/>
        <w:spacing w:after="0" w:line="239" w:lineRule="auto"/>
        <w:rPr>
          <w:rFonts w:ascii="Times New Roman" w:hAnsi="Times New Roman" w:cs="Times New Roman"/>
          <w:b/>
          <w:bCs/>
          <w:sz w:val="18"/>
          <w:szCs w:val="18"/>
          <w:lang w:val="en-US"/>
        </w:rPr>
      </w:pPr>
    </w:p>
    <w:p w14:paraId="1996BA3E" w14:textId="77777777" w:rsidR="00301E5C" w:rsidRDefault="00301E5C" w:rsidP="00A643CF">
      <w:pPr>
        <w:widowControl w:val="0"/>
        <w:autoSpaceDE w:val="0"/>
        <w:autoSpaceDN w:val="0"/>
        <w:adjustRightInd w:val="0"/>
        <w:spacing w:after="0" w:line="239" w:lineRule="auto"/>
        <w:rPr>
          <w:rFonts w:ascii="Times New Roman" w:hAnsi="Times New Roman" w:cs="Times New Roman"/>
          <w:b/>
          <w:bCs/>
          <w:sz w:val="20"/>
          <w:szCs w:val="20"/>
          <w:lang w:val="en-US"/>
        </w:rPr>
      </w:pPr>
    </w:p>
    <w:p w14:paraId="19163A47" w14:textId="2F44BEB5" w:rsidR="00A643CF" w:rsidRDefault="00A643CF" w:rsidP="00A643CF">
      <w:pPr>
        <w:widowControl w:val="0"/>
        <w:autoSpaceDE w:val="0"/>
        <w:autoSpaceDN w:val="0"/>
        <w:adjustRightInd w:val="0"/>
        <w:spacing w:after="0" w:line="239" w:lineRule="auto"/>
        <w:rPr>
          <w:rFonts w:ascii="Times New Roman" w:hAnsi="Times New Roman" w:cs="Times New Roman"/>
          <w:b/>
          <w:bCs/>
          <w:sz w:val="20"/>
          <w:szCs w:val="20"/>
          <w:lang w:val="en-US"/>
        </w:rPr>
      </w:pPr>
      <w:r w:rsidRPr="0061475B">
        <w:rPr>
          <w:rFonts w:ascii="Times New Roman" w:hAnsi="Times New Roman" w:cs="Times New Roman"/>
          <w:b/>
          <w:bCs/>
          <w:sz w:val="20"/>
          <w:szCs w:val="20"/>
          <w:lang w:val="en-US"/>
        </w:rPr>
        <w:t>Overview</w:t>
      </w:r>
    </w:p>
    <w:p w14:paraId="159B7743" w14:textId="6902E590" w:rsidR="00915F73" w:rsidRDefault="004F2C50" w:rsidP="00A643CF">
      <w:pPr>
        <w:widowControl w:val="0"/>
        <w:autoSpaceDE w:val="0"/>
        <w:autoSpaceDN w:val="0"/>
        <w:adjustRightInd w:val="0"/>
        <w:spacing w:after="0" w:line="239"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It is impossible to underestimate the impact that the Russian invasion of Ukraine had on the German Gas Sector. In the matter of a couple of weeks the complete import regime of Germany was changed by an external, unforeseeable factor. This presents a unique opportunity to analyze </w:t>
      </w:r>
      <w:r w:rsidR="00915F73">
        <w:rPr>
          <w:rFonts w:ascii="Times New Roman" w:hAnsi="Times New Roman" w:cs="Times New Roman"/>
          <w:sz w:val="20"/>
          <w:szCs w:val="20"/>
          <w:lang w:val="en-US"/>
        </w:rPr>
        <w:t xml:space="preserve">not only </w:t>
      </w:r>
      <w:r>
        <w:rPr>
          <w:rFonts w:ascii="Times New Roman" w:hAnsi="Times New Roman" w:cs="Times New Roman"/>
          <w:sz w:val="20"/>
          <w:szCs w:val="20"/>
          <w:lang w:val="en-US"/>
        </w:rPr>
        <w:t>the resiliency of the Germany Gas Sector</w:t>
      </w:r>
      <w:r w:rsidR="00915F73">
        <w:rPr>
          <w:rFonts w:ascii="Times New Roman" w:hAnsi="Times New Roman" w:cs="Times New Roman"/>
          <w:sz w:val="20"/>
          <w:szCs w:val="20"/>
          <w:lang w:val="en-US"/>
        </w:rPr>
        <w:t xml:space="preserve"> but also to prepare for the changes that it will go through in the coming decades.</w:t>
      </w:r>
    </w:p>
    <w:p w14:paraId="2DA8FCD1" w14:textId="7E625C82" w:rsidR="00BC3BD1" w:rsidRDefault="00BC3BD1" w:rsidP="00BC3BD1">
      <w:pPr>
        <w:pStyle w:val="Corpodeltesto2"/>
        <w:ind w:firstLine="0"/>
        <w:jc w:val="left"/>
        <w:rPr>
          <w:lang w:val="en-US"/>
        </w:rPr>
      </w:pPr>
      <w:r>
        <w:rPr>
          <w:lang w:val="en-US"/>
        </w:rPr>
        <w:t>As the German government focuses on Hydrogen as one of the key energy carriers for a carbon-neutral energy sector, questions arise on its viability due to, among others, the high costs of developing a new transmission network.</w:t>
      </w:r>
    </w:p>
    <w:p w14:paraId="1E83DFB7" w14:textId="4506B8E2" w:rsidR="00BC3BD1" w:rsidRDefault="00BC3BD1" w:rsidP="00BC3BD1">
      <w:pPr>
        <w:pStyle w:val="Corpodeltesto2"/>
        <w:ind w:firstLine="0"/>
        <w:jc w:val="left"/>
        <w:rPr>
          <w:lang w:val="en-US"/>
        </w:rPr>
      </w:pPr>
      <w:r>
        <w:rPr>
          <w:lang w:val="en-US"/>
        </w:rPr>
        <w:t>In this Study we will focus on the changes that the German gas grid has suffered in 2022 and how will this affect the implementation of a hydrogen grid using the existing pipelines.</w:t>
      </w:r>
    </w:p>
    <w:p w14:paraId="60203736" w14:textId="77777777" w:rsidR="00BC3BD1" w:rsidRDefault="00BC3BD1" w:rsidP="00A643CF">
      <w:pPr>
        <w:widowControl w:val="0"/>
        <w:autoSpaceDE w:val="0"/>
        <w:autoSpaceDN w:val="0"/>
        <w:adjustRightInd w:val="0"/>
        <w:spacing w:after="0" w:line="239" w:lineRule="auto"/>
        <w:rPr>
          <w:rFonts w:ascii="Times New Roman" w:hAnsi="Times New Roman" w:cs="Times New Roman"/>
          <w:b/>
          <w:bCs/>
          <w:sz w:val="20"/>
          <w:szCs w:val="20"/>
          <w:lang w:val="en-US"/>
        </w:rPr>
      </w:pPr>
    </w:p>
    <w:p w14:paraId="18AB4BB5" w14:textId="4C61D474" w:rsidR="004F2C50" w:rsidRDefault="00A643CF" w:rsidP="00A643CF">
      <w:pPr>
        <w:widowControl w:val="0"/>
        <w:autoSpaceDE w:val="0"/>
        <w:autoSpaceDN w:val="0"/>
        <w:adjustRightInd w:val="0"/>
        <w:spacing w:after="0" w:line="239" w:lineRule="auto"/>
        <w:rPr>
          <w:rFonts w:ascii="Times New Roman" w:hAnsi="Times New Roman" w:cs="Times New Roman"/>
          <w:b/>
          <w:bCs/>
          <w:sz w:val="20"/>
          <w:szCs w:val="20"/>
          <w:lang w:val="en-US"/>
        </w:rPr>
      </w:pPr>
      <w:r w:rsidRPr="0061475B">
        <w:rPr>
          <w:rFonts w:ascii="Times New Roman" w:hAnsi="Times New Roman" w:cs="Times New Roman"/>
          <w:b/>
          <w:bCs/>
          <w:sz w:val="20"/>
          <w:szCs w:val="20"/>
          <w:lang w:val="en-US"/>
        </w:rPr>
        <w:t>Method</w:t>
      </w:r>
      <w:r w:rsidR="00DF73E6">
        <w:rPr>
          <w:rFonts w:ascii="Times New Roman" w:hAnsi="Times New Roman" w:cs="Times New Roman"/>
          <w:b/>
          <w:bCs/>
          <w:sz w:val="20"/>
          <w:szCs w:val="20"/>
          <w:lang w:val="en-US"/>
        </w:rPr>
        <w:t>s</w:t>
      </w:r>
    </w:p>
    <w:p w14:paraId="44A6C477" w14:textId="26135788" w:rsidR="00BC3BD1" w:rsidRDefault="004F2C50" w:rsidP="00BC3BD1">
      <w:pPr>
        <w:widowControl w:val="0"/>
        <w:autoSpaceDE w:val="0"/>
        <w:autoSpaceDN w:val="0"/>
        <w:adjustRightInd w:val="0"/>
        <w:spacing w:after="0" w:line="239" w:lineRule="auto"/>
        <w:rPr>
          <w:rFonts w:ascii="Times New Roman" w:hAnsi="Times New Roman" w:cs="Times New Roman"/>
          <w:sz w:val="20"/>
          <w:szCs w:val="20"/>
          <w:lang w:val="en-US"/>
        </w:rPr>
      </w:pPr>
      <w:r>
        <w:rPr>
          <w:rFonts w:ascii="Times New Roman" w:hAnsi="Times New Roman" w:cs="Times New Roman"/>
          <w:sz w:val="20"/>
          <w:szCs w:val="20"/>
          <w:lang w:val="en-US"/>
        </w:rPr>
        <w:t>Our study uses GAMAMOD</w:t>
      </w:r>
      <w:r w:rsidR="00B31A43">
        <w:rPr>
          <w:rFonts w:ascii="Times New Roman" w:hAnsi="Times New Roman" w:cs="Times New Roman"/>
          <w:sz w:val="20"/>
          <w:szCs w:val="20"/>
          <w:lang w:val="en-US"/>
        </w:rPr>
        <w:t xml:space="preserve"> (Hauser, 2019), a</w:t>
      </w:r>
      <w:r w:rsidR="00C24193">
        <w:rPr>
          <w:rFonts w:ascii="Times New Roman" w:hAnsi="Times New Roman" w:cs="Times New Roman"/>
          <w:sz w:val="20"/>
          <w:szCs w:val="20"/>
          <w:lang w:val="en-US"/>
        </w:rPr>
        <w:t>n optimal</w:t>
      </w:r>
      <w:r w:rsidR="00B31A43">
        <w:rPr>
          <w:rFonts w:ascii="Times New Roman" w:hAnsi="Times New Roman" w:cs="Times New Roman"/>
          <w:sz w:val="20"/>
          <w:szCs w:val="20"/>
          <w:lang w:val="en-US"/>
        </w:rPr>
        <w:t xml:space="preserve"> gas transmission flow model, to simulate the </w:t>
      </w:r>
      <w:r w:rsidR="00C24193">
        <w:rPr>
          <w:rFonts w:ascii="Times New Roman" w:hAnsi="Times New Roman" w:cs="Times New Roman"/>
          <w:sz w:val="20"/>
          <w:szCs w:val="20"/>
          <w:lang w:val="en-US"/>
        </w:rPr>
        <w:t>changing dynamics of gas import and transport</w:t>
      </w:r>
      <w:r w:rsidR="00B31A43">
        <w:rPr>
          <w:rFonts w:ascii="Times New Roman" w:hAnsi="Times New Roman" w:cs="Times New Roman"/>
          <w:sz w:val="20"/>
          <w:szCs w:val="20"/>
          <w:lang w:val="en-US"/>
        </w:rPr>
        <w:t xml:space="preserve"> during 2022. </w:t>
      </w:r>
      <w:r w:rsidR="00C24193">
        <w:rPr>
          <w:rFonts w:ascii="Times New Roman" w:hAnsi="Times New Roman" w:cs="Times New Roman"/>
          <w:sz w:val="20"/>
          <w:szCs w:val="20"/>
          <w:lang w:val="en-US"/>
        </w:rPr>
        <w:t xml:space="preserve">Using publicly available data on gas imports </w:t>
      </w:r>
      <w:r w:rsidR="00BC3BD1">
        <w:rPr>
          <w:rFonts w:ascii="Times New Roman" w:hAnsi="Times New Roman" w:cs="Times New Roman"/>
          <w:sz w:val="20"/>
          <w:szCs w:val="20"/>
          <w:lang w:val="en-US"/>
        </w:rPr>
        <w:t xml:space="preserve">we will be able to simulate the gas flows </w:t>
      </w:r>
      <w:r w:rsidR="001516B9">
        <w:rPr>
          <w:rFonts w:ascii="Times New Roman" w:hAnsi="Times New Roman" w:cs="Times New Roman"/>
          <w:sz w:val="20"/>
          <w:szCs w:val="20"/>
          <w:lang w:val="en-US"/>
        </w:rPr>
        <w:t xml:space="preserve">and storage level </w:t>
      </w:r>
      <w:r w:rsidR="00BC3BD1">
        <w:rPr>
          <w:rFonts w:ascii="Times New Roman" w:hAnsi="Times New Roman" w:cs="Times New Roman"/>
          <w:sz w:val="20"/>
          <w:szCs w:val="20"/>
          <w:lang w:val="en-US"/>
        </w:rPr>
        <w:t>on every major pipeline in Germany</w:t>
      </w:r>
      <w:r w:rsidR="001516B9">
        <w:rPr>
          <w:rFonts w:ascii="Times New Roman" w:hAnsi="Times New Roman" w:cs="Times New Roman"/>
          <w:sz w:val="20"/>
          <w:szCs w:val="20"/>
          <w:lang w:val="en-US"/>
        </w:rPr>
        <w:t xml:space="preserve"> for a variety of scenarios</w:t>
      </w:r>
      <w:r w:rsidR="00BC3BD1">
        <w:rPr>
          <w:rFonts w:ascii="Times New Roman" w:hAnsi="Times New Roman" w:cs="Times New Roman"/>
          <w:sz w:val="20"/>
          <w:szCs w:val="20"/>
          <w:lang w:val="en-US"/>
        </w:rPr>
        <w:t xml:space="preserve">. The </w:t>
      </w:r>
      <w:r w:rsidR="00BB688E">
        <w:rPr>
          <w:rFonts w:ascii="Times New Roman" w:hAnsi="Times New Roman" w:cs="Times New Roman"/>
          <w:sz w:val="20"/>
          <w:szCs w:val="20"/>
          <w:lang w:val="en-US"/>
        </w:rPr>
        <w:t xml:space="preserve">reference scenario </w:t>
      </w:r>
      <w:r w:rsidR="00941119">
        <w:rPr>
          <w:rFonts w:ascii="Times New Roman" w:hAnsi="Times New Roman" w:cs="Times New Roman"/>
          <w:sz w:val="20"/>
          <w:szCs w:val="20"/>
          <w:lang w:val="en-US"/>
        </w:rPr>
        <w:t xml:space="preserve">will be provided by the first part of the year, </w:t>
      </w:r>
      <w:r w:rsidR="00BC3BD1">
        <w:rPr>
          <w:rFonts w:ascii="Times New Roman" w:hAnsi="Times New Roman" w:cs="Times New Roman"/>
          <w:sz w:val="20"/>
          <w:szCs w:val="20"/>
          <w:lang w:val="en-US"/>
        </w:rPr>
        <w:t>while the latter will point to new trends.</w:t>
      </w:r>
    </w:p>
    <w:p w14:paraId="0303989E" w14:textId="1B49F8E2" w:rsidR="00A643CF" w:rsidRPr="00BC3BD1" w:rsidRDefault="00BC3BD1" w:rsidP="00BC3BD1">
      <w:pPr>
        <w:widowControl w:val="0"/>
        <w:autoSpaceDE w:val="0"/>
        <w:autoSpaceDN w:val="0"/>
        <w:adjustRightInd w:val="0"/>
        <w:spacing w:after="0" w:line="239"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Key variables of the pipelines to be compared will be import, gas flows and relative flow capacity. With these values we will be able to propose pipeline candidates </w:t>
      </w:r>
      <w:r w:rsidR="00285F1F">
        <w:rPr>
          <w:rFonts w:ascii="Times New Roman" w:hAnsi="Times New Roman" w:cs="Times New Roman"/>
          <w:sz w:val="20"/>
          <w:szCs w:val="20"/>
          <w:lang w:val="en-US"/>
        </w:rPr>
        <w:t>available for retrofitting. Repeated simulations will allow us to accurately measure which pipelines had retrofitting potential before and after the changing regime in gas import.</w:t>
      </w:r>
    </w:p>
    <w:p w14:paraId="3C02AA55" w14:textId="77777777" w:rsidR="00A643CF" w:rsidRPr="00BC3BD1" w:rsidRDefault="00A643CF" w:rsidP="00BC3BD1">
      <w:pPr>
        <w:widowControl w:val="0"/>
        <w:autoSpaceDE w:val="0"/>
        <w:autoSpaceDN w:val="0"/>
        <w:adjustRightInd w:val="0"/>
        <w:spacing w:after="0" w:line="239" w:lineRule="auto"/>
        <w:rPr>
          <w:rFonts w:ascii="Times New Roman" w:hAnsi="Times New Roman" w:cs="Times New Roman"/>
          <w:sz w:val="20"/>
          <w:szCs w:val="20"/>
          <w:lang w:val="en-US"/>
        </w:rPr>
      </w:pPr>
    </w:p>
    <w:p w14:paraId="4D4D5CEA" w14:textId="77777777" w:rsidR="00A643CF" w:rsidRPr="0061475B" w:rsidRDefault="00A643CF" w:rsidP="00A643CF">
      <w:pPr>
        <w:widowControl w:val="0"/>
        <w:autoSpaceDE w:val="0"/>
        <w:autoSpaceDN w:val="0"/>
        <w:adjustRightInd w:val="0"/>
        <w:spacing w:after="0" w:line="240" w:lineRule="auto"/>
        <w:rPr>
          <w:rFonts w:ascii="Times New Roman" w:hAnsi="Times New Roman" w:cs="Times New Roman"/>
          <w:sz w:val="28"/>
          <w:szCs w:val="28"/>
          <w:lang w:val="en-US"/>
        </w:rPr>
      </w:pPr>
      <w:r w:rsidRPr="0061475B">
        <w:rPr>
          <w:rFonts w:ascii="Times New Roman" w:hAnsi="Times New Roman" w:cs="Times New Roman"/>
          <w:b/>
          <w:bCs/>
          <w:sz w:val="20"/>
          <w:szCs w:val="20"/>
          <w:lang w:val="en-US"/>
        </w:rPr>
        <w:t>Results</w:t>
      </w:r>
    </w:p>
    <w:p w14:paraId="2BF26C47" w14:textId="77777777" w:rsidR="00A643CF" w:rsidRPr="0061475B" w:rsidRDefault="00A643CF" w:rsidP="00A643CF">
      <w:pPr>
        <w:widowControl w:val="0"/>
        <w:autoSpaceDE w:val="0"/>
        <w:autoSpaceDN w:val="0"/>
        <w:adjustRightInd w:val="0"/>
        <w:spacing w:after="0" w:line="6" w:lineRule="exact"/>
        <w:rPr>
          <w:rFonts w:ascii="Times New Roman" w:hAnsi="Times New Roman" w:cs="Times New Roman"/>
          <w:sz w:val="28"/>
          <w:szCs w:val="28"/>
          <w:lang w:val="en-US"/>
        </w:rPr>
      </w:pPr>
    </w:p>
    <w:p w14:paraId="6129740F" w14:textId="4F11C1DD" w:rsidR="00285F1F" w:rsidRDefault="00285F1F" w:rsidP="00285F1F">
      <w:pPr>
        <w:widowControl w:val="0"/>
        <w:overflowPunct w:val="0"/>
        <w:autoSpaceDE w:val="0"/>
        <w:autoSpaceDN w:val="0"/>
        <w:adjustRightInd w:val="0"/>
        <w:spacing w:after="0" w:line="236" w:lineRule="auto"/>
        <w:ind w:right="60"/>
        <w:rPr>
          <w:rFonts w:ascii="Times New Roman" w:hAnsi="Times New Roman" w:cs="Times New Roman"/>
          <w:sz w:val="20"/>
          <w:szCs w:val="20"/>
          <w:lang w:val="en-US"/>
        </w:rPr>
      </w:pPr>
      <w:r>
        <w:rPr>
          <w:rFonts w:ascii="Times New Roman" w:hAnsi="Times New Roman" w:cs="Times New Roman"/>
          <w:sz w:val="20"/>
          <w:szCs w:val="20"/>
          <w:lang w:val="en-US"/>
        </w:rPr>
        <w:t xml:space="preserve">Preliminary results point to a small increase in relative use of the pipelines in regions Lower Saxony and </w:t>
      </w:r>
      <w:r w:rsidRPr="00285F1F">
        <w:rPr>
          <w:rFonts w:ascii="Times New Roman" w:hAnsi="Times New Roman" w:cs="Times New Roman"/>
          <w:sz w:val="20"/>
          <w:szCs w:val="20"/>
          <w:lang w:val="en-US"/>
        </w:rPr>
        <w:t>North Rhine-Westphalia</w:t>
      </w:r>
      <w:r>
        <w:rPr>
          <w:rFonts w:ascii="Times New Roman" w:hAnsi="Times New Roman" w:cs="Times New Roman"/>
          <w:sz w:val="20"/>
          <w:szCs w:val="20"/>
          <w:lang w:val="en-US"/>
        </w:rPr>
        <w:t xml:space="preserve">, while a stronger decrease of pipeline use in the eastern regions of </w:t>
      </w:r>
      <w:r w:rsidRPr="00285F1F">
        <w:rPr>
          <w:rFonts w:ascii="Times New Roman" w:hAnsi="Times New Roman" w:cs="Times New Roman"/>
          <w:sz w:val="20"/>
          <w:szCs w:val="20"/>
          <w:lang w:val="en-US"/>
        </w:rPr>
        <w:t>Mecklenburg-Vorpommern</w:t>
      </w:r>
      <w:r>
        <w:rPr>
          <w:rFonts w:ascii="Times New Roman" w:hAnsi="Times New Roman" w:cs="Times New Roman"/>
          <w:sz w:val="20"/>
          <w:szCs w:val="20"/>
          <w:lang w:val="en-US"/>
        </w:rPr>
        <w:t xml:space="preserve"> and </w:t>
      </w:r>
      <w:r w:rsidRPr="00285F1F">
        <w:rPr>
          <w:rFonts w:ascii="Times New Roman" w:hAnsi="Times New Roman" w:cs="Times New Roman"/>
          <w:sz w:val="20"/>
          <w:szCs w:val="20"/>
          <w:lang w:val="en-US"/>
        </w:rPr>
        <w:t>Brandenburg</w:t>
      </w:r>
      <w:r>
        <w:rPr>
          <w:rFonts w:ascii="Times New Roman" w:hAnsi="Times New Roman" w:cs="Times New Roman"/>
          <w:sz w:val="20"/>
          <w:szCs w:val="20"/>
          <w:lang w:val="en-US"/>
        </w:rPr>
        <w:t>. This would imply a regionally uneven increase in retrofitting potential.</w:t>
      </w:r>
    </w:p>
    <w:p w14:paraId="75DF0FD4" w14:textId="4A8576DF" w:rsidR="00A643CF" w:rsidRPr="0061475B" w:rsidRDefault="001516B9" w:rsidP="00285F1F">
      <w:pPr>
        <w:widowControl w:val="0"/>
        <w:overflowPunct w:val="0"/>
        <w:autoSpaceDE w:val="0"/>
        <w:autoSpaceDN w:val="0"/>
        <w:adjustRightInd w:val="0"/>
        <w:spacing w:after="0" w:line="236" w:lineRule="auto"/>
        <w:ind w:right="60"/>
        <w:rPr>
          <w:rFonts w:ascii="Times New Roman" w:hAnsi="Times New Roman" w:cs="Times New Roman"/>
          <w:sz w:val="28"/>
          <w:szCs w:val="28"/>
          <w:lang w:val="en-US"/>
        </w:rPr>
      </w:pPr>
      <w:r>
        <w:rPr>
          <w:rFonts w:ascii="Times New Roman" w:hAnsi="Times New Roman" w:cs="Times New Roman"/>
          <w:sz w:val="20"/>
          <w:szCs w:val="20"/>
          <w:lang w:val="en-US"/>
        </w:rPr>
        <w:t>Additionally, scenarios for different weather-dependent gas consumption, will allow us to investigate the impact of the retrofitting on transmission reliability under stress. Other scenarios will simulate an accelerated implementation of LNG-Ports and measure its impact. Results regarding these scenarios</w:t>
      </w:r>
      <w:r w:rsidR="00285F1F">
        <w:rPr>
          <w:rFonts w:ascii="Times New Roman" w:hAnsi="Times New Roman" w:cs="Times New Roman"/>
          <w:sz w:val="20"/>
          <w:szCs w:val="20"/>
          <w:lang w:val="en-US"/>
        </w:rPr>
        <w:t xml:space="preserve"> will be presented at the conference.  </w:t>
      </w:r>
    </w:p>
    <w:p w14:paraId="096F208B" w14:textId="77777777" w:rsidR="00A643CF" w:rsidRPr="0061475B" w:rsidRDefault="00A643CF" w:rsidP="00A643CF">
      <w:pPr>
        <w:widowControl w:val="0"/>
        <w:autoSpaceDE w:val="0"/>
        <w:autoSpaceDN w:val="0"/>
        <w:adjustRightInd w:val="0"/>
        <w:spacing w:after="0" w:line="209" w:lineRule="exact"/>
        <w:rPr>
          <w:rFonts w:ascii="Times New Roman" w:hAnsi="Times New Roman" w:cs="Times New Roman"/>
          <w:sz w:val="28"/>
          <w:szCs w:val="28"/>
          <w:lang w:val="en-US"/>
        </w:rPr>
      </w:pPr>
    </w:p>
    <w:p w14:paraId="074036F6" w14:textId="77777777" w:rsidR="00A643CF" w:rsidRPr="0061475B" w:rsidRDefault="00A643CF" w:rsidP="00A643CF">
      <w:pPr>
        <w:widowControl w:val="0"/>
        <w:autoSpaceDE w:val="0"/>
        <w:autoSpaceDN w:val="0"/>
        <w:adjustRightInd w:val="0"/>
        <w:spacing w:after="0" w:line="240" w:lineRule="auto"/>
        <w:rPr>
          <w:rFonts w:ascii="Times New Roman" w:hAnsi="Times New Roman" w:cs="Times New Roman"/>
          <w:sz w:val="28"/>
          <w:szCs w:val="28"/>
          <w:lang w:val="en-US"/>
        </w:rPr>
      </w:pPr>
      <w:r w:rsidRPr="0061475B">
        <w:rPr>
          <w:rFonts w:ascii="Times New Roman" w:hAnsi="Times New Roman" w:cs="Times New Roman"/>
          <w:b/>
          <w:bCs/>
          <w:sz w:val="20"/>
          <w:szCs w:val="20"/>
          <w:lang w:val="en-US"/>
        </w:rPr>
        <w:t>Conclusions</w:t>
      </w:r>
    </w:p>
    <w:p w14:paraId="45893344" w14:textId="77777777" w:rsidR="00A643CF" w:rsidRPr="0061475B" w:rsidRDefault="00A643CF" w:rsidP="00A643CF">
      <w:pPr>
        <w:widowControl w:val="0"/>
        <w:autoSpaceDE w:val="0"/>
        <w:autoSpaceDN w:val="0"/>
        <w:adjustRightInd w:val="0"/>
        <w:spacing w:after="0" w:line="6" w:lineRule="exact"/>
        <w:rPr>
          <w:rFonts w:ascii="Times New Roman" w:hAnsi="Times New Roman" w:cs="Times New Roman"/>
          <w:sz w:val="28"/>
          <w:szCs w:val="28"/>
          <w:lang w:val="en-US"/>
        </w:rPr>
      </w:pPr>
    </w:p>
    <w:p w14:paraId="4B823404" w14:textId="7D2E32CF" w:rsidR="00A643CF" w:rsidRDefault="00FB3E3D" w:rsidP="00A643CF">
      <w:pPr>
        <w:widowControl w:val="0"/>
        <w:autoSpaceDE w:val="0"/>
        <w:autoSpaceDN w:val="0"/>
        <w:adjustRightInd w:val="0"/>
        <w:spacing w:after="0" w:line="212" w:lineRule="exact"/>
        <w:rPr>
          <w:rFonts w:ascii="Times New Roman" w:hAnsi="Times New Roman" w:cs="Times New Roman"/>
          <w:sz w:val="20"/>
          <w:szCs w:val="20"/>
          <w:lang w:val="en-US"/>
        </w:rPr>
      </w:pPr>
      <w:r>
        <w:rPr>
          <w:rFonts w:ascii="Times New Roman" w:hAnsi="Times New Roman" w:cs="Times New Roman"/>
          <w:sz w:val="20"/>
          <w:szCs w:val="20"/>
          <w:lang w:val="en-US"/>
        </w:rPr>
        <w:t>Retrofitting potential will be key factor in deciding the viability of a hydrogen</w:t>
      </w:r>
      <w:r w:rsidR="001516B9">
        <w:rPr>
          <w:rFonts w:ascii="Times New Roman" w:hAnsi="Times New Roman" w:cs="Times New Roman"/>
          <w:sz w:val="20"/>
          <w:szCs w:val="20"/>
          <w:lang w:val="en-US"/>
        </w:rPr>
        <w:t>.</w:t>
      </w:r>
      <w:r>
        <w:rPr>
          <w:rFonts w:ascii="Times New Roman" w:hAnsi="Times New Roman" w:cs="Times New Roman"/>
          <w:sz w:val="20"/>
          <w:szCs w:val="20"/>
          <w:lang w:val="en-US"/>
        </w:rPr>
        <w:t xml:space="preserve"> A good assessment of the future dynamics of the German gas grid could expedite the transformation of the existing pipelines and facilitate the calculation of infrastructure costs. This study aims to be the first to such type of analysis.</w:t>
      </w:r>
    </w:p>
    <w:p w14:paraId="453CE408" w14:textId="77777777" w:rsidR="00285F1F" w:rsidRPr="0061475B" w:rsidRDefault="00285F1F" w:rsidP="00A643CF">
      <w:pPr>
        <w:widowControl w:val="0"/>
        <w:autoSpaceDE w:val="0"/>
        <w:autoSpaceDN w:val="0"/>
        <w:adjustRightInd w:val="0"/>
        <w:spacing w:after="0" w:line="212" w:lineRule="exact"/>
        <w:rPr>
          <w:rFonts w:ascii="Times New Roman" w:hAnsi="Times New Roman" w:cs="Times New Roman"/>
          <w:sz w:val="28"/>
          <w:szCs w:val="28"/>
          <w:lang w:val="en-US"/>
        </w:rPr>
      </w:pPr>
    </w:p>
    <w:p w14:paraId="5D1261C8" w14:textId="77777777" w:rsidR="00A643CF" w:rsidRPr="0061475B" w:rsidRDefault="00A643CF" w:rsidP="00A643CF">
      <w:pPr>
        <w:widowControl w:val="0"/>
        <w:autoSpaceDE w:val="0"/>
        <w:autoSpaceDN w:val="0"/>
        <w:adjustRightInd w:val="0"/>
        <w:spacing w:after="0" w:line="240" w:lineRule="auto"/>
        <w:rPr>
          <w:rFonts w:ascii="Times New Roman" w:hAnsi="Times New Roman" w:cs="Times New Roman"/>
          <w:sz w:val="28"/>
          <w:szCs w:val="28"/>
          <w:lang w:val="en-US"/>
        </w:rPr>
      </w:pPr>
      <w:r w:rsidRPr="0061475B">
        <w:rPr>
          <w:rFonts w:ascii="Times New Roman" w:hAnsi="Times New Roman" w:cs="Times New Roman"/>
          <w:b/>
          <w:bCs/>
          <w:sz w:val="20"/>
          <w:szCs w:val="20"/>
          <w:lang w:val="en-US"/>
        </w:rPr>
        <w:t>References</w:t>
      </w:r>
    </w:p>
    <w:p w14:paraId="253E17D0" w14:textId="77777777" w:rsidR="00A643CF" w:rsidRPr="0061475B" w:rsidRDefault="00A643CF" w:rsidP="00A643CF">
      <w:pPr>
        <w:widowControl w:val="0"/>
        <w:autoSpaceDE w:val="0"/>
        <w:autoSpaceDN w:val="0"/>
        <w:adjustRightInd w:val="0"/>
        <w:spacing w:after="0" w:line="8" w:lineRule="exact"/>
        <w:rPr>
          <w:rFonts w:ascii="Times New Roman" w:hAnsi="Times New Roman" w:cs="Times New Roman"/>
          <w:sz w:val="28"/>
          <w:szCs w:val="28"/>
          <w:lang w:val="en-US"/>
        </w:rPr>
      </w:pPr>
    </w:p>
    <w:p w14:paraId="3A73937E" w14:textId="2C5AB8C3" w:rsidR="00FC3B46" w:rsidRDefault="00B31A43" w:rsidP="00FC3B46">
      <w:pPr>
        <w:pStyle w:val="Bibliografia"/>
        <w:rPr>
          <w:lang w:val="en-US"/>
        </w:rPr>
      </w:pPr>
      <w:r w:rsidRPr="00B31A43">
        <w:rPr>
          <w:lang w:val="en-US"/>
        </w:rPr>
        <w:t>Hauser</w:t>
      </w:r>
      <w:r>
        <w:rPr>
          <w:lang w:val="en-US"/>
        </w:rPr>
        <w:t>, P.</w:t>
      </w:r>
      <w:r w:rsidR="00FC3B46">
        <w:rPr>
          <w:lang w:val="en-US"/>
        </w:rPr>
        <w:t xml:space="preserve">, </w:t>
      </w:r>
      <w:r w:rsidRPr="00B31A43">
        <w:rPr>
          <w:lang w:val="en-US"/>
        </w:rPr>
        <w:t>2019</w:t>
      </w:r>
      <w:r w:rsidR="00FC3B46">
        <w:rPr>
          <w:lang w:val="en-US"/>
        </w:rPr>
        <w:t>.</w:t>
      </w:r>
      <w:r w:rsidRPr="00B31A43">
        <w:rPr>
          <w:lang w:val="en-US"/>
        </w:rPr>
        <w:t xml:space="preserve"> </w:t>
      </w:r>
      <w:r w:rsidRPr="00C24193">
        <w:rPr>
          <w:lang w:val="en-US"/>
        </w:rPr>
        <w:t xml:space="preserve">A modelling approach for the German gas grid using highly resolved spatial, temporal and sectoral data </w:t>
      </w:r>
      <w:r w:rsidRPr="00B31A43">
        <w:rPr>
          <w:lang w:val="en-US"/>
        </w:rPr>
        <w:t xml:space="preserve">(GAMAMOD-DE), </w:t>
      </w:r>
      <w:r w:rsidRPr="00C24193">
        <w:rPr>
          <w:i/>
          <w:iCs/>
          <w:lang w:val="en-US"/>
        </w:rPr>
        <w:t>ZBW - Leibniz Information Centre for Economics</w:t>
      </w:r>
      <w:r w:rsidRPr="00B31A43">
        <w:rPr>
          <w:lang w:val="en-US"/>
        </w:rPr>
        <w:t>, Kiel, Hamburg, Mai 2019</w:t>
      </w:r>
    </w:p>
    <w:sdt>
      <w:sdtPr>
        <w:rPr>
          <w:rFonts w:asciiTheme="minorHAnsi" w:eastAsiaTheme="minorEastAsia" w:hAnsiTheme="minorHAnsi" w:cstheme="minorBidi"/>
          <w:sz w:val="22"/>
          <w:szCs w:val="22"/>
          <w:lang w:val="de-DE" w:eastAsia="de-DE"/>
        </w:rPr>
        <w:id w:val="-573587230"/>
        <w:bibliography/>
      </w:sdtPr>
      <w:sdtEndPr/>
      <w:sdtContent>
        <w:p w14:paraId="4783E735" w14:textId="4E7D2C17" w:rsidR="00FB3E3D" w:rsidRDefault="00FB3E3D" w:rsidP="00FB3E3D">
          <w:pPr>
            <w:pStyle w:val="Bibliografia"/>
          </w:pPr>
        </w:p>
        <w:p w14:paraId="1F482CE4" w14:textId="4A1D9B22" w:rsidR="00FC3B46" w:rsidRDefault="00937092" w:rsidP="00FC3B46"/>
      </w:sdtContent>
    </w:sdt>
    <w:p w14:paraId="1EB7A91A" w14:textId="2EEEF14F" w:rsidR="00B31A43" w:rsidRDefault="00B31A43" w:rsidP="00B31A43">
      <w:pPr>
        <w:widowControl w:val="0"/>
        <w:overflowPunct w:val="0"/>
        <w:autoSpaceDE w:val="0"/>
        <w:autoSpaceDN w:val="0"/>
        <w:adjustRightInd w:val="0"/>
        <w:spacing w:after="0" w:line="231" w:lineRule="auto"/>
        <w:ind w:right="80"/>
        <w:rPr>
          <w:rFonts w:ascii="Times New Roman" w:hAnsi="Times New Roman" w:cs="Times New Roman"/>
          <w:sz w:val="20"/>
          <w:szCs w:val="20"/>
          <w:lang w:val="en-US"/>
        </w:rPr>
      </w:pPr>
    </w:p>
    <w:p w14:paraId="454835E4" w14:textId="77777777" w:rsidR="002D39F2" w:rsidRPr="0061475B" w:rsidRDefault="002D39F2">
      <w:pPr>
        <w:rPr>
          <w:sz w:val="24"/>
          <w:szCs w:val="24"/>
          <w:lang w:val="en-US"/>
        </w:rPr>
      </w:pPr>
    </w:p>
    <w:sectPr w:rsidR="002D39F2" w:rsidRPr="0061475B">
      <w:pgSz w:w="11900" w:h="16840"/>
      <w:pgMar w:top="1440" w:right="1340" w:bottom="1440" w:left="980" w:header="720" w:footer="720" w:gutter="0"/>
      <w:cols w:space="720" w:equalWidth="0">
        <w:col w:w="9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CF"/>
    <w:rsid w:val="0001330C"/>
    <w:rsid w:val="001516B9"/>
    <w:rsid w:val="001E0DB1"/>
    <w:rsid w:val="00285F1F"/>
    <w:rsid w:val="002D39F2"/>
    <w:rsid w:val="00301E5C"/>
    <w:rsid w:val="004A2FE3"/>
    <w:rsid w:val="004F2C50"/>
    <w:rsid w:val="0061475B"/>
    <w:rsid w:val="007D0D60"/>
    <w:rsid w:val="0084633D"/>
    <w:rsid w:val="00915F73"/>
    <w:rsid w:val="00937092"/>
    <w:rsid w:val="00941119"/>
    <w:rsid w:val="00A643CF"/>
    <w:rsid w:val="00AC48E7"/>
    <w:rsid w:val="00B31A43"/>
    <w:rsid w:val="00BB688E"/>
    <w:rsid w:val="00BC3BD1"/>
    <w:rsid w:val="00C24193"/>
    <w:rsid w:val="00CC6546"/>
    <w:rsid w:val="00DF73E6"/>
    <w:rsid w:val="00FA2E47"/>
    <w:rsid w:val="00FB3E3D"/>
    <w:rsid w:val="00FC3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DAD9"/>
  <w15:chartTrackingRefBased/>
  <w15:docId w15:val="{2DFA3B1D-CE33-4DCC-B4EC-DA07288F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43CF"/>
    <w:rPr>
      <w:rFonts w:eastAsiaTheme="minorEastAsia"/>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633D"/>
    <w:rPr>
      <w:color w:val="0563C1" w:themeColor="hyperlink"/>
      <w:u w:val="single"/>
    </w:rPr>
  </w:style>
  <w:style w:type="character" w:customStyle="1" w:styleId="UnresolvedMention">
    <w:name w:val="Unresolved Mention"/>
    <w:basedOn w:val="Carpredefinitoparagrafo"/>
    <w:uiPriority w:val="99"/>
    <w:semiHidden/>
    <w:unhideWhenUsed/>
    <w:rsid w:val="0084633D"/>
    <w:rPr>
      <w:color w:val="605E5C"/>
      <w:shd w:val="clear" w:color="auto" w:fill="E1DFDD"/>
    </w:rPr>
  </w:style>
  <w:style w:type="paragraph" w:styleId="Corpodeltesto2">
    <w:name w:val="Body Text 2"/>
    <w:basedOn w:val="Normale"/>
    <w:link w:val="Corpodeltesto2Carattere"/>
    <w:rsid w:val="00FC3B46"/>
    <w:pPr>
      <w:spacing w:after="0" w:line="240" w:lineRule="auto"/>
      <w:ind w:firstLine="360"/>
      <w:jc w:val="both"/>
    </w:pPr>
    <w:rPr>
      <w:rFonts w:ascii="Times New Roman" w:eastAsia="Times New Roman" w:hAnsi="Times New Roman" w:cs="Times New Roman"/>
      <w:sz w:val="20"/>
      <w:szCs w:val="20"/>
      <w:lang w:val="en-GB" w:eastAsia="en-US"/>
    </w:rPr>
  </w:style>
  <w:style w:type="character" w:customStyle="1" w:styleId="Corpodeltesto2Carattere">
    <w:name w:val="Corpo del testo 2 Carattere"/>
    <w:basedOn w:val="Carpredefinitoparagrafo"/>
    <w:link w:val="Corpodeltesto2"/>
    <w:rsid w:val="00FC3B46"/>
    <w:rPr>
      <w:rFonts w:ascii="Times New Roman" w:eastAsia="Times New Roman" w:hAnsi="Times New Roman" w:cs="Times New Roman"/>
      <w:sz w:val="20"/>
      <w:szCs w:val="20"/>
      <w:lang w:val="en-GB"/>
    </w:rPr>
  </w:style>
  <w:style w:type="paragraph" w:styleId="Bibliografia">
    <w:name w:val="Bibliography"/>
    <w:basedOn w:val="Normale"/>
    <w:next w:val="Normale"/>
    <w:uiPriority w:val="37"/>
    <w:unhideWhenUsed/>
    <w:rsid w:val="00FC3B46"/>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1523">
      <w:bodyDiv w:val="1"/>
      <w:marLeft w:val="0"/>
      <w:marRight w:val="0"/>
      <w:marTop w:val="0"/>
      <w:marBottom w:val="0"/>
      <w:divBdr>
        <w:top w:val="none" w:sz="0" w:space="0" w:color="auto"/>
        <w:left w:val="none" w:sz="0" w:space="0" w:color="auto"/>
        <w:bottom w:val="none" w:sz="0" w:space="0" w:color="auto"/>
        <w:right w:val="none" w:sz="0" w:space="0" w:color="auto"/>
      </w:divBdr>
    </w:div>
    <w:div w:id="7249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minik.moest@tu-dresden.de" TargetMode="External"/><Relationship Id="rId5" Type="http://schemas.openxmlformats.org/officeDocument/2006/relationships/hyperlink" Target="mailto:lucas.delafuente@tu-dresd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Issue>11</b:Issue>
    <b:Year>2019</b:Year>
    <b:Volume>12</b:Volume>
    <b:BIBTEX_Entry>article</b:BIBTEX_Entry>
    <b:SourceType>JournalArticle</b:SourceType>
    <b:Title>Does increasing natural gas demand in the power sector pose a threat of congestion to the German gas grid? A model-coupling approach</b:Title>
    <b:Publisher>MDPI AG</b:Publisher>
    <b:BIBTEX_Abstract>This study aims to investigate the possible congestion in the German natural gas system, which may arise due to an increase in the gas consumption in the power sector in extreme weather events. For this purpose, we develop a two-stage approach to couple an electricity model and a natural gas network model. In this approach, we model the electricity system in the first stage to determine the gas demand in the power sector. We then use the calculated gas demand to model gas networks in the second stage, where we deploy a newly developed gas network model. As a case study, we primarily evaluate our methodological approach by re-simulating the cold weather event in 2012, which is seen as an extreme situation for the gas grids, challenging the security of supply. Accordingly, we use our coupled model to investigate potential congestion in the natural gas networks for the year 2030, using a scenario of a sustainable energy transition, where an increase in the gas consumption in the power industry is likely. Results for 2030 show a 51% increase in yearly gas demand in the power industry compared to 2012. Further, the simulation results show a gas supply interruption in two nodes in 2012. In 2030, the same nodes may face an (partial) interruption of gas supply in cold winter days such as the 6th of February 2012. In this day, the load shedding in the natural gas networks can increase up to 19 GWhth in 2030. We also argue that the interrupted electricity production, due to local gas interruptions, can easily be compensated by other power plants. However, these local gas interruptions may endanger the local heat production".</b:BIBTEX_Abstract>
    <b:Tag>Hauser2019</b:Tag>
    <b:BIBTEX_KeyWords>Coupling of energy sectors,Electricity and heat markets,Energy security,Gas networks</b:BIBTEX_KeyWords>
    <b:DOI>10.3390/EN12112159</b:DOI>
    <b:Author>
      <b:Author>
        <b:NameList>
          <b:Person>
            <b:Last>Hauser</b:Last>
            <b:First>Philipp</b:First>
          </b:Person>
          <b:Person>
            <b:Last>Heidari</b:Last>
            <b:First>Sina</b:First>
          </b:Person>
          <b:Person>
            <b:Last>Weber</b:Last>
            <b:First>Christoph</b:First>
          </b:Person>
          <b:Person>
            <b:Last>Möst</b:Last>
            <b:First>Dominik</b:First>
          </b:Person>
        </b:NameList>
      </b:Author>
    </b:Author>
    <b:Month>June</b:Month>
    <b:JournalName>Energies</b:JournalName>
    <b:StandardNumber> ISSN: 19961073</b:StandardNumber>
    <b:RefOrder>1</b:RefOrder>
  </b:Source>
  <b:Source>
    <b:Year>2019</b:Year>
    <b:Volume>158</b:Volume>
    <b:BIBTEX_Entry>inproceedings</b:BIBTEX_Entry>
    <b:SourceType>ConferenceProceedings</b:SourceType>
    <b:Title>Energy security in context of transforming energy systems: A case study for natural gas transport in Germany</b:Title>
    <b:Publisher>Elsevier Ltd</b:Publisher>
    <b:BIBTEX_Abstract>Against the background of transforming energy systems in a sustainable manner, energy security plays a crucial role when designing energy systems in general and energy transportation systems in particular. Energy security can be understood as uninterrupted availability of energy sources at an affordable price and, thus, is influenced by technical, economic and political circumstances. Currently many national energy systems are switching from fossil and nuclear to renewable energy supply. Even though the focus often is on the electricity supply, this fuel switch effects the whole energy system including i.e. the heat and mobility sector, triggering even bigger changes. This work examines, using the example of natural gas in Germany, how the long-term transformation of energy systems influences energy security and why this should be considered in short- to mid-term transportation systems expansion planning.</b:BIBTEX_Abstract>
    <b:Tag>Gillessen2019</b:Tag>
    <b:BIBTEX_KeyWords>Energy security,Energy systems,Gas transport,Germany,Grid expansion planning,Natural gas,Security of supply</b:BIBTEX_KeyWords>
    <b:DOI>10.1016/j.egypro.2019.01.966</b:DOI>
    <b:Author>
      <b:Author>
        <b:NameList>
          <b:Person>
            <b:Last>Gillessen</b:Last>
            <b:First>B.</b:First>
          </b:Person>
          <b:Person>
            <b:Last>Heinrichs</b:Last>
            <b:First>H.</b:First>
          </b:Person>
          <b:Person>
            <b:Last>Hake</b:Last>
            <b:Middle>F.</b:Middle>
            <b:First>J.</b:First>
          </b:Person>
          <b:Person>
            <b:Last>Allelein</b:Last>
            <b:Middle>J.</b:Middle>
            <b:First>H.</b:First>
          </b:Person>
        </b:NameList>
      </b:Author>
    </b:Author>
    <b:Pages>3339-3345</b:Pages>
    <b:JournalName>Energy Procedia</b:JournalName>
    <b:StandardNumber> ISSN: 18766102</b:StandardNumber>
    <b:RefOrder>2</b:RefOrder>
  </b:Source>
  <b:Source>
    <b:Department>ECONtribute</b:Department>
    <b:Year>2022</b:Year>
    <b:BIBTEX_Entry>report</b:BIBTEX_Entry>
    <b:SourceType>Misc</b:SourceType>
    <b:Title>What if? The Economic Effects for Germany of a Stop of Energy Imports from Russia</b:Title>
    <b:Tag>Bachmann2022</b:Tag>
    <b:URL>www.econtribute.de</b:URL>
    <b:Author>
      <b:Author>
        <b:NameList>
          <b:Person>
            <b:Last>Bachmann</b:Last>
            <b:First>Rüdiger</b:First>
          </b:Person>
          <b:Person>
            <b:Last>Baqaee</b:Last>
            <b:First>David</b:First>
          </b:Person>
          <b:Person>
            <b:Last>Bayer</b:Last>
            <b:First>Christian</b:First>
          </b:Person>
          <b:Person>
            <b:Last>Kuhn</b:Last>
            <b:First>Moritz</b:First>
          </b:Person>
          <b:Person>
            <b:Last>Löschel</b:Last>
            <b:First>Andreas</b:First>
          </b:Person>
          <b:Person>
            <b:Last>Moll</b:Last>
            <b:First>Benjamin</b:First>
          </b:Person>
          <b:Person>
            <b:Last>Peichl</b:Last>
            <b:First>Andreas</b:First>
          </b:Person>
          <b:Person>
            <b:Last>Pittel</b:Last>
            <b:First>Karen</b:First>
          </b:Person>
          <b:Person>
            <b:Last>Schularick</b:Last>
            <b:First>Moritz</b:First>
          </b:Person>
        </b:NameList>
      </b:Author>
    </b:Author>
    <b:Month>March</b:Month>
    <b:PublicationTitle>What if? The Economic Effects for Germany of a Stop of Energy Imports from Russia</b:PublicationTitle>
    <b:RefOrder>1</b:RefOrder>
  </b:Source>
  <b:Source>
    <b:Year>2021</b:Year>
    <b:Volume>153</b:Volume>
    <b:BIBTEX_Entry>article</b:BIBTEX_Entry>
    <b:SourceType>JournalArticle</b:SourceType>
    <b:Title>Does ‘more’ equal ‘better’? – Analyzing the impact of diversification strategies on infrastructure in the European gas market</b:Title>
    <b:BIBTEX_Abstract>The paper investigates investments in gas infrastructure considering uncertainties in European gas markets. Furthermore, the study addresses the question of whether (more) diversification provides a (better) security of supply improvement. Thus, a stochastic optimization approach is introduced. The uncertainties focus on 2030 and 2045 in three dimensions, namely the Ukraine gas transit, future LNG prices, and the expected gas demand. Considering three diversification strategies, the model GAMAMOD-EU.sto optimizes investments in pipelines, LNG import terminals and gas storages as well as the gas dispatch. Results illustrate trade-offs between optimal gas supply and diversification strategies. Investments in pipelines to North African suppliers are made across all strategies, while the building of the Nord Stream 2 pipeline depend on the respective diversification strategy. Diversification through LNG quota changes the dispatch results significantly. Investments in storages are almost not necessary over all strategies, however, storages provide flexibility to prevent supply shortages, when diversification strategies are applied. Conclusion for policy makers regarding what is needed for preventing malinvestments and high costs in the European gas market are: an enhanced relationship between Russia and the EU and a clear vision on the role of gas in the future European energy system that reduces demand uncertainty.</b:BIBTEX_Abstract>
    <b:Tag>Hauser2021</b:Tag>
    <b:DOI>10.1016/j.enpol.2021.112232</b:DOI>
    <b:Author>
      <b:Author>
        <b:NameList>
          <b:Person>
            <b:Last>Hauser</b:Last>
            <b:First>Philipp</b:First>
          </b:Person>
        </b:NameList>
      </b:Author>
    </b:Author>
    <b:JournalName>Energy Policy</b:JournalName>
    <b:StandardNumber> ISSN: 03014215</b:StandardNumber>
    <b:RefOrder>4</b:RefOrder>
  </b:Source>
</b:Sources>
</file>

<file path=customXml/itemProps1.xml><?xml version="1.0" encoding="utf-8"?>
<ds:datastoreItem xmlns:ds="http://schemas.openxmlformats.org/officeDocument/2006/customXml" ds:itemID="{ACB211E3-7939-4FFA-B34C-C70EF07E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3053</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dc:creator>
  <cp:keywords/>
  <dc:description/>
  <cp:lastModifiedBy>segreteria</cp:lastModifiedBy>
  <cp:revision>2</cp:revision>
  <dcterms:created xsi:type="dcterms:W3CDTF">2023-04-05T10:06:00Z</dcterms:created>
  <dcterms:modified xsi:type="dcterms:W3CDTF">2023-04-05T10:06:00Z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CloudProjectKey=mkj1miyxqd5uf9lvupqvuvwfjhxlrex1qvbd5fiwdw5p1x; ProjectName=MINFRA_Paper_Modeling of coupled infrastructures in energy systems</vt:lpwstr>
  </property>
  <property fmtid="{D5CDD505-2E9C-101B-9397-08002B2CF9AE}" pid="3" name="CitaviDocumentProperty_7">
    <vt:lpwstr>MINFRA_Paper_Modeling of coupled infrastructures in energy systems</vt:lpwstr>
  </property>
  <property fmtid="{D5CDD505-2E9C-101B-9397-08002B2CF9AE}" pid="4" name="CitaviDocumentProperty_0">
    <vt:lpwstr>9563ff4a-b601-4e5c-b658-cdca4023c4db</vt:lpwstr>
  </property>
</Properties>
</file>