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A45EF" w14:textId="0B686912" w:rsidR="0088203E" w:rsidRPr="0088393A" w:rsidRDefault="00ED40DE" w:rsidP="0088393A">
      <w:pPr>
        <w:pStyle w:val="RoadefTitre"/>
        <w:spacing w:before="0" w:after="0"/>
      </w:pPr>
      <w:bookmarkStart w:id="0" w:name="_GoBack"/>
      <w:bookmarkEnd w:id="0"/>
      <w:r w:rsidRPr="0088393A">
        <w:t xml:space="preserve">Carbon risk and green steel investments: Real Options Analysis and </w:t>
      </w:r>
      <w:proofErr w:type="spellStart"/>
      <w:r w:rsidRPr="0088393A">
        <w:t>MonteCarlo</w:t>
      </w:r>
      <w:proofErr w:type="spellEnd"/>
      <w:r w:rsidRPr="0088393A">
        <w:t xml:space="preserve"> simulations to assess decarbonization policies</w:t>
      </w:r>
    </w:p>
    <w:p w14:paraId="2F6A0EA8" w14:textId="4EAB054D" w:rsidR="0088393A" w:rsidRDefault="00ED40DE" w:rsidP="0088393A">
      <w:pPr>
        <w:pStyle w:val="StyleRoadefAuteur"/>
        <w:jc w:val="right"/>
        <w:rPr>
          <w:sz w:val="20"/>
          <w:lang w:val="fr-FR"/>
        </w:rPr>
      </w:pPr>
      <w:r w:rsidRPr="0088393A">
        <w:rPr>
          <w:sz w:val="20"/>
          <w:lang w:val="fr-FR"/>
        </w:rPr>
        <w:t>Simon Lang</w:t>
      </w:r>
      <w:r w:rsidR="0088393A" w:rsidRPr="0088393A">
        <w:rPr>
          <w:sz w:val="20"/>
          <w:vertAlign w:val="superscript"/>
          <w:lang w:val="fr-FR"/>
        </w:rPr>
        <w:t xml:space="preserve">, </w:t>
      </w:r>
      <w:r w:rsidR="0088393A" w:rsidRPr="0088393A">
        <w:rPr>
          <w:sz w:val="20"/>
          <w:lang w:val="fr-FR"/>
        </w:rPr>
        <w:t xml:space="preserve">EDF R&amp;D, </w:t>
      </w:r>
    </w:p>
    <w:p w14:paraId="11F7357D" w14:textId="526E5FC1" w:rsidR="0088393A" w:rsidRPr="0088393A" w:rsidRDefault="0088393A" w:rsidP="0088393A">
      <w:pPr>
        <w:pStyle w:val="RoadefAdresse"/>
      </w:pPr>
      <w:r>
        <w:rPr>
          <w:rStyle w:val="lrzxr"/>
        </w:rPr>
        <w:t>Av. des Renardières, 77250 Écuelles, France</w:t>
      </w:r>
    </w:p>
    <w:p w14:paraId="1388647B" w14:textId="1624950D" w:rsidR="0088393A" w:rsidRDefault="001D24C1" w:rsidP="0088393A">
      <w:pPr>
        <w:pStyle w:val="StyleRoadefAuteur"/>
        <w:jc w:val="right"/>
        <w:rPr>
          <w:sz w:val="20"/>
          <w:lang w:val="fr-FR"/>
        </w:rPr>
      </w:pPr>
      <w:hyperlink r:id="rId8" w:history="1">
        <w:r w:rsidR="0088393A" w:rsidRPr="009640EC">
          <w:rPr>
            <w:rStyle w:val="Collegamentoipertestuale"/>
            <w:sz w:val="20"/>
            <w:lang w:val="fr-FR"/>
          </w:rPr>
          <w:t>simon.lang@edf.fr</w:t>
        </w:r>
      </w:hyperlink>
      <w:r w:rsidR="0088393A" w:rsidRPr="0088393A">
        <w:rPr>
          <w:sz w:val="20"/>
          <w:lang w:val="fr-FR"/>
        </w:rPr>
        <w:t xml:space="preserve"> </w:t>
      </w:r>
    </w:p>
    <w:p w14:paraId="1476C328" w14:textId="77777777" w:rsidR="0088393A" w:rsidRPr="0088393A" w:rsidRDefault="0088393A" w:rsidP="0088393A">
      <w:pPr>
        <w:pStyle w:val="RoadefAdresse"/>
      </w:pPr>
    </w:p>
    <w:p w14:paraId="735A44D1" w14:textId="77777777" w:rsidR="0088393A" w:rsidRDefault="00ED40DE" w:rsidP="0088393A">
      <w:pPr>
        <w:pStyle w:val="StyleRoadefAuteur"/>
        <w:jc w:val="right"/>
        <w:rPr>
          <w:sz w:val="20"/>
          <w:lang w:val="fr-FR"/>
        </w:rPr>
      </w:pPr>
      <w:r w:rsidRPr="0088393A">
        <w:rPr>
          <w:sz w:val="20"/>
          <w:lang w:val="fr-FR"/>
        </w:rPr>
        <w:t>Frédéric Lant</w:t>
      </w:r>
      <w:r w:rsidR="0088393A" w:rsidRPr="0088393A">
        <w:rPr>
          <w:sz w:val="20"/>
          <w:lang w:val="fr-FR"/>
        </w:rPr>
        <w:t>z, IFPEN</w:t>
      </w:r>
      <w:r w:rsidR="0088393A">
        <w:rPr>
          <w:sz w:val="20"/>
          <w:lang w:val="fr-FR"/>
        </w:rPr>
        <w:t xml:space="preserve"> </w:t>
      </w:r>
    </w:p>
    <w:p w14:paraId="45ACD8D9" w14:textId="6A5ED06A" w:rsidR="0088393A" w:rsidRDefault="0088393A" w:rsidP="0088393A">
      <w:pPr>
        <w:pStyle w:val="StyleRoadefAuteur"/>
        <w:jc w:val="right"/>
        <w:rPr>
          <w:lang w:val="fr-FR"/>
        </w:rPr>
      </w:pPr>
      <w:r w:rsidRPr="0088393A">
        <w:rPr>
          <w:lang w:val="fr-FR"/>
        </w:rPr>
        <w:t>1-4 Av. du Bois Préau, 92852 Rueil-Malmaison</w:t>
      </w:r>
      <w:r>
        <w:rPr>
          <w:lang w:val="fr-FR"/>
        </w:rPr>
        <w:t>, France</w:t>
      </w:r>
    </w:p>
    <w:p w14:paraId="40B9AF60" w14:textId="7E3801E0" w:rsidR="0088203E" w:rsidRPr="0088393A" w:rsidRDefault="0088393A" w:rsidP="0088393A">
      <w:pPr>
        <w:pStyle w:val="StyleRoadefAuteur"/>
        <w:jc w:val="right"/>
        <w:rPr>
          <w:sz w:val="20"/>
          <w:vertAlign w:val="superscript"/>
          <w:lang w:val="fr-FR"/>
        </w:rPr>
      </w:pPr>
      <w:r w:rsidRPr="0088393A">
        <w:rPr>
          <w:sz w:val="20"/>
          <w:lang w:val="fr-FR"/>
        </w:rPr>
        <w:t xml:space="preserve"> frederic.lantz@ifpen.fr</w:t>
      </w:r>
    </w:p>
    <w:p w14:paraId="730B40F6" w14:textId="2314C37C" w:rsidR="0088203E" w:rsidRDefault="0088393A" w:rsidP="0088393A">
      <w:pPr>
        <w:pStyle w:val="RoadefTitreNiveau1"/>
        <w:spacing w:before="0" w:after="0" w:line="240" w:lineRule="auto"/>
      </w:pPr>
      <w:r>
        <w:rPr>
          <w:lang w:val="en-GB"/>
        </w:rPr>
        <w:t>Overview</w:t>
      </w:r>
    </w:p>
    <w:p w14:paraId="4D9211D2" w14:textId="139E4CF3" w:rsidR="001A3AFE" w:rsidRDefault="00ED40DE" w:rsidP="00956879">
      <w:pPr>
        <w:pStyle w:val="RoadefTexte"/>
        <w:ind w:firstLine="0"/>
        <w:rPr>
          <w:rFonts w:ascii="Times New Roman" w:hAnsi="Times New Roman" w:cs="Times New Roman"/>
          <w:sz w:val="20"/>
          <w:szCs w:val="20"/>
          <w:lang w:val="en-GB"/>
        </w:rPr>
      </w:pPr>
      <w:r w:rsidRPr="0088393A">
        <w:rPr>
          <w:rFonts w:ascii="Times New Roman" w:hAnsi="Times New Roman" w:cs="Times New Roman"/>
          <w:sz w:val="20"/>
          <w:szCs w:val="20"/>
          <w:lang w:val="en-GB"/>
        </w:rPr>
        <w:t>Steel is one of the most CO2 intensive material produced in Europe. Its production represents 4% of France</w:t>
      </w:r>
      <w:r w:rsidR="000A39FF" w:rsidRPr="0088393A">
        <w:rPr>
          <w:rFonts w:ascii="Times New Roman" w:hAnsi="Times New Roman" w:cs="Times New Roman"/>
          <w:sz w:val="20"/>
          <w:szCs w:val="20"/>
          <w:lang w:val="en-GB"/>
        </w:rPr>
        <w:t>’s</w:t>
      </w:r>
      <w:r w:rsidRPr="0088393A">
        <w:rPr>
          <w:rFonts w:ascii="Times New Roman" w:hAnsi="Times New Roman" w:cs="Times New Roman"/>
          <w:sz w:val="20"/>
          <w:szCs w:val="20"/>
          <w:lang w:val="en-GB"/>
        </w:rPr>
        <w:t xml:space="preserve"> GHG emissions. </w:t>
      </w:r>
      <w:r w:rsidR="00134593" w:rsidRPr="0088393A">
        <w:rPr>
          <w:rFonts w:ascii="Times New Roman" w:hAnsi="Times New Roman" w:cs="Times New Roman"/>
          <w:sz w:val="20"/>
          <w:szCs w:val="20"/>
          <w:lang w:val="en-GB"/>
        </w:rPr>
        <w:t xml:space="preserve">Even though this industry has been </w:t>
      </w:r>
      <w:r w:rsidR="000A39FF" w:rsidRPr="0088393A">
        <w:rPr>
          <w:rFonts w:ascii="Times New Roman" w:hAnsi="Times New Roman" w:cs="Times New Roman"/>
          <w:sz w:val="20"/>
          <w:szCs w:val="20"/>
          <w:lang w:val="en-GB"/>
        </w:rPr>
        <w:t xml:space="preserve">quite </w:t>
      </w:r>
      <w:r w:rsidR="00134593" w:rsidRPr="0088393A">
        <w:rPr>
          <w:rFonts w:ascii="Times New Roman" w:hAnsi="Times New Roman" w:cs="Times New Roman"/>
          <w:sz w:val="20"/>
          <w:szCs w:val="20"/>
          <w:lang w:val="en-GB"/>
        </w:rPr>
        <w:t xml:space="preserve">protected from climate regulation, both the potential implementation of stricter policies and new technological progress are putting this ‘hard-to-abate’ industry under pressure. </w:t>
      </w:r>
      <w:r w:rsidRPr="0088393A">
        <w:rPr>
          <w:rFonts w:ascii="Times New Roman" w:hAnsi="Times New Roman" w:cs="Times New Roman"/>
          <w:sz w:val="20"/>
          <w:szCs w:val="20"/>
          <w:lang w:val="en-GB"/>
        </w:rPr>
        <w:t xml:space="preserve">To meet EU decarbonization targets and quit coal, steel producers can rely on several decarbonization options: </w:t>
      </w:r>
      <w:r w:rsidR="001A3AFE" w:rsidRPr="0088393A">
        <w:rPr>
          <w:rFonts w:ascii="Times New Roman" w:hAnsi="Times New Roman" w:cs="Times New Roman"/>
          <w:sz w:val="20"/>
          <w:szCs w:val="20"/>
          <w:lang w:val="en-GB"/>
        </w:rPr>
        <w:t>energy efficiency measures, heat recovery</w:t>
      </w:r>
      <w:r w:rsidR="0076700A" w:rsidRPr="0088393A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88393A">
        <w:rPr>
          <w:rFonts w:ascii="Times New Roman" w:hAnsi="Times New Roman" w:cs="Times New Roman"/>
          <w:sz w:val="20"/>
          <w:szCs w:val="20"/>
          <w:lang w:val="en-GB"/>
        </w:rPr>
        <w:t xml:space="preserve">incremental upgrading of existing assets </w:t>
      </w:r>
      <w:r w:rsidR="000A39FF" w:rsidRPr="0088393A">
        <w:rPr>
          <w:rFonts w:ascii="Times New Roman" w:hAnsi="Times New Roman" w:cs="Times New Roman"/>
          <w:sz w:val="20"/>
          <w:szCs w:val="20"/>
          <w:lang w:val="en-GB"/>
        </w:rPr>
        <w:t xml:space="preserve">(compatibility </w:t>
      </w:r>
      <w:r w:rsidRPr="0088393A">
        <w:rPr>
          <w:rFonts w:ascii="Times New Roman" w:hAnsi="Times New Roman" w:cs="Times New Roman"/>
          <w:sz w:val="20"/>
          <w:szCs w:val="20"/>
          <w:lang w:val="en-GB"/>
        </w:rPr>
        <w:t xml:space="preserve">with biomass or carbon </w:t>
      </w:r>
      <w:r w:rsidR="001A3AFE" w:rsidRPr="0088393A">
        <w:rPr>
          <w:rFonts w:ascii="Times New Roman" w:hAnsi="Times New Roman" w:cs="Times New Roman"/>
          <w:sz w:val="20"/>
          <w:szCs w:val="20"/>
          <w:lang w:val="en-GB"/>
        </w:rPr>
        <w:t>capture</w:t>
      </w:r>
      <w:r w:rsidR="000A39FF" w:rsidRPr="0088393A">
        <w:rPr>
          <w:rFonts w:ascii="Times New Roman" w:hAnsi="Times New Roman" w:cs="Times New Roman"/>
          <w:sz w:val="20"/>
          <w:szCs w:val="20"/>
          <w:lang w:val="en-GB"/>
        </w:rPr>
        <w:t xml:space="preserve"> technologies)</w:t>
      </w:r>
      <w:r w:rsidR="001A3AFE" w:rsidRPr="0088393A">
        <w:rPr>
          <w:rFonts w:ascii="Times New Roman" w:hAnsi="Times New Roman" w:cs="Times New Roman"/>
          <w:sz w:val="20"/>
          <w:szCs w:val="20"/>
          <w:lang w:val="en-GB"/>
        </w:rPr>
        <w:t>, investments</w:t>
      </w:r>
      <w:r w:rsidRPr="0088393A">
        <w:rPr>
          <w:rFonts w:ascii="Times New Roman" w:hAnsi="Times New Roman" w:cs="Times New Roman"/>
          <w:sz w:val="20"/>
          <w:szCs w:val="20"/>
          <w:lang w:val="en-GB"/>
        </w:rPr>
        <w:t xml:space="preserve"> in new assets that use natural gas or hydrogen, or a shift towards recycled steel. Many challenges appear from this potential transition as producers would face </w:t>
      </w:r>
      <w:r w:rsidR="000A39FF" w:rsidRPr="0088393A">
        <w:rPr>
          <w:rFonts w:ascii="Times New Roman" w:hAnsi="Times New Roman" w:cs="Times New Roman"/>
          <w:sz w:val="20"/>
          <w:szCs w:val="20"/>
          <w:lang w:val="en-GB"/>
        </w:rPr>
        <w:t xml:space="preserve">both technological </w:t>
      </w:r>
      <w:r w:rsidRPr="0088393A">
        <w:rPr>
          <w:rFonts w:ascii="Times New Roman" w:hAnsi="Times New Roman" w:cs="Times New Roman"/>
          <w:sz w:val="20"/>
          <w:szCs w:val="20"/>
          <w:lang w:val="en-GB"/>
        </w:rPr>
        <w:t xml:space="preserve">and </w:t>
      </w:r>
      <w:r w:rsidR="0076700A" w:rsidRPr="0088393A">
        <w:rPr>
          <w:rFonts w:ascii="Times New Roman" w:hAnsi="Times New Roman" w:cs="Times New Roman"/>
          <w:sz w:val="20"/>
          <w:szCs w:val="20"/>
          <w:lang w:val="en-GB"/>
        </w:rPr>
        <w:t>commodity</w:t>
      </w:r>
      <w:r w:rsidRPr="0088393A">
        <w:rPr>
          <w:rFonts w:ascii="Times New Roman" w:hAnsi="Times New Roman" w:cs="Times New Roman"/>
          <w:sz w:val="20"/>
          <w:szCs w:val="20"/>
          <w:lang w:val="en-GB"/>
        </w:rPr>
        <w:t xml:space="preserve"> uncertaint</w:t>
      </w:r>
      <w:r w:rsidR="000A39FF" w:rsidRPr="0088393A">
        <w:rPr>
          <w:rFonts w:ascii="Times New Roman" w:hAnsi="Times New Roman" w:cs="Times New Roman"/>
          <w:sz w:val="20"/>
          <w:szCs w:val="20"/>
          <w:lang w:val="en-GB"/>
        </w:rPr>
        <w:t>ies</w:t>
      </w:r>
      <w:r w:rsidRPr="0088393A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134593" w:rsidRPr="0088393A">
        <w:rPr>
          <w:rFonts w:ascii="Times New Roman" w:hAnsi="Times New Roman" w:cs="Times New Roman"/>
          <w:sz w:val="20"/>
          <w:szCs w:val="20"/>
          <w:lang w:val="en-GB"/>
        </w:rPr>
        <w:t>First</w:t>
      </w:r>
      <w:r w:rsidR="000A39FF" w:rsidRPr="0088393A">
        <w:rPr>
          <w:rFonts w:ascii="Times New Roman" w:hAnsi="Times New Roman" w:cs="Times New Roman"/>
          <w:sz w:val="20"/>
          <w:szCs w:val="20"/>
          <w:lang w:val="en-GB"/>
        </w:rPr>
        <w:t>ly</w:t>
      </w:r>
      <w:r w:rsidR="00134593" w:rsidRPr="0088393A">
        <w:rPr>
          <w:rFonts w:ascii="Times New Roman" w:hAnsi="Times New Roman" w:cs="Times New Roman"/>
          <w:sz w:val="20"/>
          <w:szCs w:val="20"/>
          <w:lang w:val="en-GB"/>
        </w:rPr>
        <w:t xml:space="preserve">, current assets have a long lifetime </w:t>
      </w:r>
      <w:r w:rsidR="000A39FF" w:rsidRPr="0088393A">
        <w:rPr>
          <w:rFonts w:ascii="Times New Roman" w:hAnsi="Times New Roman" w:cs="Times New Roman"/>
          <w:sz w:val="20"/>
          <w:szCs w:val="20"/>
          <w:lang w:val="en-GB"/>
        </w:rPr>
        <w:t xml:space="preserve">varying </w:t>
      </w:r>
      <w:r w:rsidR="00134593" w:rsidRPr="0088393A">
        <w:rPr>
          <w:rFonts w:ascii="Times New Roman" w:hAnsi="Times New Roman" w:cs="Times New Roman"/>
          <w:sz w:val="20"/>
          <w:szCs w:val="20"/>
          <w:lang w:val="en-GB"/>
        </w:rPr>
        <w:t>from 30 to over 60 years, highlighting that an inadequate policy timing could result in either a lock-in with very emissive assets or stranded assets. Second</w:t>
      </w:r>
      <w:r w:rsidR="000A39FF" w:rsidRPr="0088393A">
        <w:rPr>
          <w:rFonts w:ascii="Times New Roman" w:hAnsi="Times New Roman" w:cs="Times New Roman"/>
          <w:sz w:val="20"/>
          <w:szCs w:val="20"/>
          <w:lang w:val="en-GB"/>
        </w:rPr>
        <w:t>ly</w:t>
      </w:r>
      <w:r w:rsidR="00134593" w:rsidRPr="0088393A">
        <w:rPr>
          <w:rFonts w:ascii="Times New Roman" w:hAnsi="Times New Roman" w:cs="Times New Roman"/>
          <w:sz w:val="20"/>
          <w:szCs w:val="20"/>
          <w:lang w:val="en-GB"/>
        </w:rPr>
        <w:t>, steelmakers</w:t>
      </w:r>
      <w:r w:rsidRPr="0088393A">
        <w:rPr>
          <w:rFonts w:ascii="Times New Roman" w:hAnsi="Times New Roman" w:cs="Times New Roman"/>
          <w:sz w:val="20"/>
          <w:szCs w:val="20"/>
          <w:lang w:val="en-GB"/>
        </w:rPr>
        <w:t xml:space="preserve"> would have to develop first-of-a-kind plants and be exposed to </w:t>
      </w:r>
      <w:r w:rsidR="00AD720A" w:rsidRPr="0088393A">
        <w:rPr>
          <w:rFonts w:ascii="Times New Roman" w:hAnsi="Times New Roman" w:cs="Times New Roman"/>
          <w:sz w:val="20"/>
          <w:szCs w:val="20"/>
          <w:lang w:val="en-GB"/>
        </w:rPr>
        <w:t>new</w:t>
      </w:r>
      <w:r w:rsidRPr="0088393A">
        <w:rPr>
          <w:rFonts w:ascii="Times New Roman" w:hAnsi="Times New Roman" w:cs="Times New Roman"/>
          <w:sz w:val="20"/>
          <w:szCs w:val="20"/>
          <w:lang w:val="en-GB"/>
        </w:rPr>
        <w:t xml:space="preserve"> energy markets</w:t>
      </w:r>
      <w:r w:rsidR="00134593" w:rsidRPr="0088393A">
        <w:rPr>
          <w:rFonts w:ascii="Times New Roman" w:hAnsi="Times New Roman" w:cs="Times New Roman"/>
          <w:sz w:val="20"/>
          <w:szCs w:val="20"/>
          <w:lang w:val="en-GB"/>
        </w:rPr>
        <w:t>, technological deployment risks and political uncertainty on the future</w:t>
      </w:r>
      <w:r w:rsidR="002B59FB" w:rsidRPr="0088393A">
        <w:rPr>
          <w:rFonts w:ascii="Times New Roman" w:hAnsi="Times New Roman" w:cs="Times New Roman"/>
          <w:sz w:val="20"/>
          <w:szCs w:val="20"/>
          <w:lang w:val="en-GB"/>
        </w:rPr>
        <w:t xml:space="preserve"> CO</w:t>
      </w:r>
      <w:r w:rsidR="002B59FB" w:rsidRPr="0088393A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>2</w:t>
      </w:r>
      <w:r w:rsidR="002B59FB" w:rsidRPr="0088393A">
        <w:rPr>
          <w:rFonts w:ascii="Times New Roman" w:hAnsi="Times New Roman" w:cs="Times New Roman"/>
          <w:sz w:val="20"/>
          <w:szCs w:val="20"/>
          <w:lang w:val="en-GB"/>
        </w:rPr>
        <w:t xml:space="preserve"> regulations.</w:t>
      </w:r>
      <w:r w:rsidRPr="0088393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34593" w:rsidRPr="0088393A">
        <w:rPr>
          <w:rFonts w:ascii="Times New Roman" w:hAnsi="Times New Roman" w:cs="Times New Roman"/>
          <w:sz w:val="20"/>
          <w:szCs w:val="20"/>
          <w:lang w:val="en-GB"/>
        </w:rPr>
        <w:t>Last</w:t>
      </w:r>
      <w:r w:rsidR="000A39FF" w:rsidRPr="0088393A">
        <w:rPr>
          <w:rFonts w:ascii="Times New Roman" w:hAnsi="Times New Roman" w:cs="Times New Roman"/>
          <w:sz w:val="20"/>
          <w:szCs w:val="20"/>
          <w:lang w:val="en-GB"/>
        </w:rPr>
        <w:t>ly</w:t>
      </w:r>
      <w:r w:rsidRPr="0088393A">
        <w:rPr>
          <w:rFonts w:ascii="Times New Roman" w:hAnsi="Times New Roman" w:cs="Times New Roman"/>
          <w:sz w:val="20"/>
          <w:szCs w:val="20"/>
          <w:lang w:val="en-GB"/>
        </w:rPr>
        <w:t xml:space="preserve">, investment needs are diverse and while some solutions </w:t>
      </w:r>
      <w:r w:rsidR="000A39FF" w:rsidRPr="0088393A">
        <w:rPr>
          <w:rFonts w:ascii="Times New Roman" w:hAnsi="Times New Roman" w:cs="Times New Roman"/>
          <w:sz w:val="20"/>
          <w:szCs w:val="20"/>
          <w:lang w:val="en-GB"/>
        </w:rPr>
        <w:t xml:space="preserve">have </w:t>
      </w:r>
      <w:r w:rsidRPr="0088393A">
        <w:rPr>
          <w:rFonts w:ascii="Times New Roman" w:hAnsi="Times New Roman" w:cs="Times New Roman"/>
          <w:sz w:val="20"/>
          <w:szCs w:val="20"/>
          <w:lang w:val="en-GB"/>
        </w:rPr>
        <w:t>a high upfront cost, other investments can be spread over some decades</w:t>
      </w:r>
      <w:r w:rsidR="00134593" w:rsidRPr="0088393A">
        <w:rPr>
          <w:rFonts w:ascii="Times New Roman" w:hAnsi="Times New Roman" w:cs="Times New Roman"/>
          <w:sz w:val="20"/>
          <w:szCs w:val="20"/>
          <w:lang w:val="en-GB"/>
        </w:rPr>
        <w:t xml:space="preserve"> or mainly </w:t>
      </w:r>
      <w:r w:rsidR="000A39FF" w:rsidRPr="0088393A">
        <w:rPr>
          <w:rFonts w:ascii="Times New Roman" w:hAnsi="Times New Roman" w:cs="Times New Roman"/>
          <w:sz w:val="20"/>
          <w:szCs w:val="20"/>
          <w:lang w:val="en-GB"/>
        </w:rPr>
        <w:t>result</w:t>
      </w:r>
      <w:r w:rsidR="00561078" w:rsidRPr="0088393A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0A39FF" w:rsidRPr="0088393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34593" w:rsidRPr="0088393A">
        <w:rPr>
          <w:rFonts w:ascii="Times New Roman" w:hAnsi="Times New Roman" w:cs="Times New Roman"/>
          <w:sz w:val="20"/>
          <w:szCs w:val="20"/>
          <w:lang w:val="en-GB"/>
        </w:rPr>
        <w:t>on an increase in operating costs</w:t>
      </w:r>
      <w:r w:rsidRPr="0088393A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1A3AFE" w:rsidRPr="0088393A">
        <w:rPr>
          <w:rFonts w:ascii="Times New Roman" w:hAnsi="Times New Roman" w:cs="Times New Roman"/>
          <w:sz w:val="20"/>
          <w:szCs w:val="20"/>
          <w:lang w:val="en-GB"/>
        </w:rPr>
        <w:t>This results in a high uncertainty over the potential technological choices and the associated energy consumption.</w:t>
      </w:r>
    </w:p>
    <w:p w14:paraId="3AFABF60" w14:textId="77777777" w:rsidR="0088393A" w:rsidRPr="0088393A" w:rsidRDefault="0088393A" w:rsidP="0088393A">
      <w:pPr>
        <w:pStyle w:val="RoadefTexte"/>
        <w:ind w:firstLine="708"/>
        <w:rPr>
          <w:rFonts w:ascii="Times New Roman" w:hAnsi="Times New Roman" w:cs="Times New Roman"/>
          <w:sz w:val="20"/>
          <w:szCs w:val="20"/>
          <w:lang w:val="en-GB"/>
        </w:rPr>
      </w:pPr>
    </w:p>
    <w:p w14:paraId="5A798ED9" w14:textId="55202251" w:rsidR="00AD720A" w:rsidRPr="008933C1" w:rsidRDefault="0088393A" w:rsidP="0088393A">
      <w:pPr>
        <w:pStyle w:val="RoadefTitreNiveau1"/>
        <w:spacing w:before="0" w:after="0"/>
        <w:rPr>
          <w:lang w:val="en-GB"/>
        </w:rPr>
      </w:pPr>
      <w:r w:rsidRPr="008933C1">
        <w:rPr>
          <w:lang w:val="en-GB"/>
        </w:rPr>
        <w:t>Methods</w:t>
      </w:r>
    </w:p>
    <w:p w14:paraId="3058EF3E" w14:textId="125EBEB7" w:rsidR="00AD720A" w:rsidRPr="0088393A" w:rsidRDefault="001A3AFE" w:rsidP="00956879">
      <w:pPr>
        <w:pStyle w:val="RoadefTexte"/>
        <w:ind w:firstLine="0"/>
        <w:rPr>
          <w:sz w:val="20"/>
          <w:szCs w:val="20"/>
          <w:lang w:val="en-GB"/>
        </w:rPr>
      </w:pPr>
      <w:r w:rsidRPr="0088393A">
        <w:rPr>
          <w:sz w:val="20"/>
          <w:szCs w:val="20"/>
          <w:lang w:val="en-GB"/>
        </w:rPr>
        <w:t>To capture</w:t>
      </w:r>
      <w:r w:rsidR="00134593" w:rsidRPr="0088393A">
        <w:rPr>
          <w:sz w:val="20"/>
          <w:szCs w:val="20"/>
          <w:lang w:val="en-GB"/>
        </w:rPr>
        <w:t xml:space="preserve"> those challenges </w:t>
      </w:r>
      <w:r w:rsidR="00A6407F" w:rsidRPr="0088393A">
        <w:rPr>
          <w:sz w:val="20"/>
          <w:szCs w:val="20"/>
          <w:lang w:val="en-GB"/>
        </w:rPr>
        <w:t xml:space="preserve">related to the </w:t>
      </w:r>
      <w:r w:rsidR="0013103D" w:rsidRPr="0088393A">
        <w:rPr>
          <w:sz w:val="20"/>
          <w:szCs w:val="20"/>
          <w:lang w:val="en-GB"/>
        </w:rPr>
        <w:t>decarbonization of</w:t>
      </w:r>
      <w:r w:rsidR="00134593" w:rsidRPr="0088393A">
        <w:rPr>
          <w:sz w:val="20"/>
          <w:szCs w:val="20"/>
          <w:lang w:val="en-GB"/>
        </w:rPr>
        <w:t xml:space="preserve"> the steel industry</w:t>
      </w:r>
      <w:r w:rsidRPr="0088393A">
        <w:rPr>
          <w:sz w:val="20"/>
          <w:szCs w:val="20"/>
          <w:lang w:val="en-GB"/>
        </w:rPr>
        <w:t xml:space="preserve">, we </w:t>
      </w:r>
      <w:r w:rsidR="00A6407F" w:rsidRPr="0088393A">
        <w:rPr>
          <w:sz w:val="20"/>
          <w:szCs w:val="20"/>
          <w:lang w:val="en-GB"/>
        </w:rPr>
        <w:t>have used</w:t>
      </w:r>
      <w:r w:rsidRPr="0088393A">
        <w:rPr>
          <w:sz w:val="20"/>
          <w:szCs w:val="20"/>
          <w:lang w:val="en-GB"/>
        </w:rPr>
        <w:t xml:space="preserve"> a compound real options framework with </w:t>
      </w:r>
      <w:proofErr w:type="spellStart"/>
      <w:r w:rsidRPr="0088393A">
        <w:rPr>
          <w:sz w:val="20"/>
          <w:szCs w:val="20"/>
          <w:lang w:val="en-GB"/>
        </w:rPr>
        <w:t>MonteCarlo</w:t>
      </w:r>
      <w:proofErr w:type="spellEnd"/>
      <w:r w:rsidRPr="0088393A">
        <w:rPr>
          <w:sz w:val="20"/>
          <w:szCs w:val="20"/>
          <w:lang w:val="en-GB"/>
        </w:rPr>
        <w:t xml:space="preserve"> simulations</w:t>
      </w:r>
      <w:r w:rsidR="008933C1">
        <w:rPr>
          <w:sz w:val="20"/>
          <w:szCs w:val="20"/>
          <w:lang w:val="en-GB"/>
        </w:rPr>
        <w:t xml:space="preserve"> </w:t>
      </w:r>
      <w:r w:rsidRPr="0088393A">
        <w:rPr>
          <w:sz w:val="20"/>
          <w:szCs w:val="20"/>
          <w:lang w:val="en-GB"/>
        </w:rPr>
        <w:t xml:space="preserve">to model the future of the French primary production of steel. </w:t>
      </w:r>
      <w:r w:rsidR="00134593" w:rsidRPr="0088393A">
        <w:rPr>
          <w:sz w:val="20"/>
          <w:szCs w:val="20"/>
          <w:lang w:val="en-GB"/>
        </w:rPr>
        <w:t>This</w:t>
      </w:r>
      <w:r w:rsidR="00A6407F" w:rsidRPr="0088393A">
        <w:rPr>
          <w:sz w:val="20"/>
          <w:szCs w:val="20"/>
          <w:lang w:val="en-GB"/>
        </w:rPr>
        <w:t xml:space="preserve"> model</w:t>
      </w:r>
      <w:r w:rsidR="00134593" w:rsidRPr="0088393A">
        <w:rPr>
          <w:sz w:val="20"/>
          <w:szCs w:val="20"/>
          <w:lang w:val="en-GB"/>
        </w:rPr>
        <w:t xml:space="preserve"> was adapted to</w:t>
      </w:r>
      <w:r w:rsidR="00AD720A" w:rsidRPr="0088393A">
        <w:rPr>
          <w:sz w:val="20"/>
          <w:szCs w:val="20"/>
          <w:lang w:val="en-GB"/>
        </w:rPr>
        <w:t xml:space="preserve"> a compound</w:t>
      </w:r>
      <w:r w:rsidR="00134593" w:rsidRPr="0088393A">
        <w:rPr>
          <w:sz w:val="20"/>
          <w:szCs w:val="20"/>
          <w:lang w:val="en-GB"/>
        </w:rPr>
        <w:t xml:space="preserve"> options</w:t>
      </w:r>
      <w:r w:rsidR="00AD720A" w:rsidRPr="0088393A">
        <w:rPr>
          <w:sz w:val="20"/>
          <w:szCs w:val="20"/>
          <w:lang w:val="en-GB"/>
        </w:rPr>
        <w:t xml:space="preserve"> problem</w:t>
      </w:r>
      <w:r w:rsidR="00134593" w:rsidRPr="0088393A">
        <w:rPr>
          <w:sz w:val="20"/>
          <w:szCs w:val="20"/>
          <w:lang w:val="en-GB"/>
        </w:rPr>
        <w:t xml:space="preserve"> as each investment changes the value of investment</w:t>
      </w:r>
      <w:r w:rsidR="00A6407F" w:rsidRPr="0088393A">
        <w:rPr>
          <w:sz w:val="20"/>
          <w:szCs w:val="20"/>
          <w:lang w:val="en-GB"/>
        </w:rPr>
        <w:t>s</w:t>
      </w:r>
      <w:r w:rsidR="00134593" w:rsidRPr="0088393A">
        <w:rPr>
          <w:sz w:val="20"/>
          <w:szCs w:val="20"/>
          <w:lang w:val="en-GB"/>
        </w:rPr>
        <w:t xml:space="preserve"> toward another </w:t>
      </w:r>
      <w:r w:rsidR="00A6407F" w:rsidRPr="0088393A">
        <w:rPr>
          <w:sz w:val="20"/>
          <w:szCs w:val="20"/>
          <w:lang w:val="en-GB"/>
        </w:rPr>
        <w:t>one of the</w:t>
      </w:r>
      <w:r w:rsidR="00134593" w:rsidRPr="0088393A">
        <w:rPr>
          <w:sz w:val="20"/>
          <w:szCs w:val="20"/>
          <w:lang w:val="en-GB"/>
        </w:rPr>
        <w:t xml:space="preserve"> 12 technological solutions</w:t>
      </w:r>
      <w:r w:rsidR="00A6407F" w:rsidRPr="0088393A">
        <w:rPr>
          <w:sz w:val="20"/>
          <w:szCs w:val="20"/>
          <w:lang w:val="en-GB"/>
        </w:rPr>
        <w:t xml:space="preserve"> considered</w:t>
      </w:r>
      <w:r w:rsidR="00AD720A" w:rsidRPr="0088393A">
        <w:rPr>
          <w:sz w:val="20"/>
          <w:szCs w:val="20"/>
          <w:lang w:val="en-GB"/>
        </w:rPr>
        <w:t xml:space="preserve">. This framework allows to represent the different transition costs associated with incremental or direct investment in low-carbon assets. </w:t>
      </w:r>
      <w:r w:rsidR="005E0C23" w:rsidRPr="0088393A">
        <w:rPr>
          <w:sz w:val="20"/>
          <w:szCs w:val="20"/>
          <w:lang w:val="en-GB"/>
        </w:rPr>
        <w:t xml:space="preserve">Different options </w:t>
      </w:r>
      <w:r w:rsidR="003C37BA" w:rsidRPr="0088393A">
        <w:rPr>
          <w:sz w:val="20"/>
          <w:szCs w:val="20"/>
          <w:lang w:val="en-GB"/>
        </w:rPr>
        <w:t>related to</w:t>
      </w:r>
      <w:r w:rsidR="005E0C23" w:rsidRPr="0088393A">
        <w:rPr>
          <w:sz w:val="20"/>
          <w:szCs w:val="20"/>
          <w:lang w:val="en-GB"/>
        </w:rPr>
        <w:t xml:space="preserve"> an investment are modelled:</w:t>
      </w:r>
    </w:p>
    <w:p w14:paraId="1DAA4367" w14:textId="392007C6" w:rsidR="005E0C23" w:rsidRPr="0088393A" w:rsidRDefault="005E0C23" w:rsidP="0088393A">
      <w:pPr>
        <w:pStyle w:val="RoadefTexte"/>
        <w:numPr>
          <w:ilvl w:val="0"/>
          <w:numId w:val="4"/>
        </w:numPr>
        <w:rPr>
          <w:sz w:val="20"/>
          <w:szCs w:val="20"/>
          <w:lang w:val="en-GB"/>
        </w:rPr>
      </w:pPr>
      <w:r w:rsidRPr="0088393A">
        <w:rPr>
          <w:sz w:val="20"/>
          <w:szCs w:val="20"/>
          <w:lang w:val="en-GB"/>
        </w:rPr>
        <w:t xml:space="preserve">The option to defer an investment – </w:t>
      </w:r>
      <w:r w:rsidR="003C37BA" w:rsidRPr="0088393A">
        <w:rPr>
          <w:sz w:val="20"/>
          <w:szCs w:val="20"/>
          <w:lang w:val="en-GB"/>
        </w:rPr>
        <w:t>the investment</w:t>
      </w:r>
      <w:r w:rsidRPr="0088393A">
        <w:rPr>
          <w:sz w:val="20"/>
          <w:szCs w:val="20"/>
          <w:lang w:val="en-GB"/>
        </w:rPr>
        <w:t xml:space="preserve"> can be done later to wait for an uncertainty to unveil</w:t>
      </w:r>
      <w:r w:rsidR="00134593" w:rsidRPr="0088393A">
        <w:rPr>
          <w:sz w:val="20"/>
          <w:szCs w:val="20"/>
          <w:lang w:val="en-GB"/>
        </w:rPr>
        <w:t xml:space="preserve"> by</w:t>
      </w:r>
      <w:r w:rsidRPr="0088393A">
        <w:rPr>
          <w:sz w:val="20"/>
          <w:szCs w:val="20"/>
          <w:lang w:val="en-GB"/>
        </w:rPr>
        <w:t xml:space="preserve"> expand</w:t>
      </w:r>
      <w:r w:rsidR="00134593" w:rsidRPr="0088393A">
        <w:rPr>
          <w:sz w:val="20"/>
          <w:szCs w:val="20"/>
          <w:lang w:val="en-GB"/>
        </w:rPr>
        <w:t>ing</w:t>
      </w:r>
      <w:r w:rsidRPr="0088393A">
        <w:rPr>
          <w:sz w:val="20"/>
          <w:szCs w:val="20"/>
          <w:lang w:val="en-GB"/>
        </w:rPr>
        <w:t xml:space="preserve"> the lifetime of an asset </w:t>
      </w:r>
      <w:r w:rsidR="00134593" w:rsidRPr="0088393A">
        <w:rPr>
          <w:sz w:val="20"/>
          <w:szCs w:val="20"/>
          <w:lang w:val="en-GB"/>
        </w:rPr>
        <w:t>through an</w:t>
      </w:r>
      <w:r w:rsidRPr="0088393A">
        <w:rPr>
          <w:sz w:val="20"/>
          <w:szCs w:val="20"/>
          <w:lang w:val="en-GB"/>
        </w:rPr>
        <w:t xml:space="preserve"> increa</w:t>
      </w:r>
      <w:r w:rsidR="00134593" w:rsidRPr="0088393A">
        <w:rPr>
          <w:sz w:val="20"/>
          <w:szCs w:val="20"/>
          <w:lang w:val="en-GB"/>
        </w:rPr>
        <w:t>se</w:t>
      </w:r>
      <w:r w:rsidRPr="0088393A">
        <w:rPr>
          <w:sz w:val="20"/>
          <w:szCs w:val="20"/>
          <w:lang w:val="en-GB"/>
        </w:rPr>
        <w:t xml:space="preserve"> </w:t>
      </w:r>
      <w:r w:rsidR="00134593" w:rsidRPr="0088393A">
        <w:rPr>
          <w:sz w:val="20"/>
          <w:szCs w:val="20"/>
          <w:lang w:val="en-GB"/>
        </w:rPr>
        <w:t>of its maintenance costs</w:t>
      </w:r>
    </w:p>
    <w:p w14:paraId="7C02D085" w14:textId="7F218476" w:rsidR="005E0C23" w:rsidRPr="0088393A" w:rsidRDefault="005E0C23" w:rsidP="0088393A">
      <w:pPr>
        <w:pStyle w:val="RoadefTexte"/>
        <w:numPr>
          <w:ilvl w:val="0"/>
          <w:numId w:val="4"/>
        </w:numPr>
        <w:rPr>
          <w:sz w:val="20"/>
          <w:szCs w:val="20"/>
          <w:lang w:val="en-GB"/>
        </w:rPr>
      </w:pPr>
      <w:r w:rsidRPr="0088393A">
        <w:rPr>
          <w:sz w:val="20"/>
          <w:szCs w:val="20"/>
          <w:lang w:val="en-GB"/>
        </w:rPr>
        <w:t xml:space="preserve">The option to </w:t>
      </w:r>
      <w:r w:rsidR="00134593" w:rsidRPr="0088393A">
        <w:rPr>
          <w:sz w:val="20"/>
          <w:szCs w:val="20"/>
          <w:lang w:val="en-GB"/>
        </w:rPr>
        <w:t>operative changes</w:t>
      </w:r>
      <w:r w:rsidRPr="0088393A">
        <w:rPr>
          <w:sz w:val="20"/>
          <w:szCs w:val="20"/>
          <w:lang w:val="en-GB"/>
        </w:rPr>
        <w:t xml:space="preserve"> – some assets and incremental solutions allow to move from coal to biomass, which could be reverted temporarily i</w:t>
      </w:r>
      <w:r w:rsidR="003C37BA" w:rsidRPr="0088393A">
        <w:rPr>
          <w:sz w:val="20"/>
          <w:szCs w:val="20"/>
          <w:lang w:val="en-GB"/>
        </w:rPr>
        <w:t>f</w:t>
      </w:r>
      <w:r w:rsidRPr="0088393A">
        <w:rPr>
          <w:sz w:val="20"/>
          <w:szCs w:val="20"/>
          <w:lang w:val="en-GB"/>
        </w:rPr>
        <w:t xml:space="preserve"> CO</w:t>
      </w:r>
      <w:r w:rsidRPr="0088393A">
        <w:rPr>
          <w:sz w:val="20"/>
          <w:szCs w:val="20"/>
          <w:vertAlign w:val="subscript"/>
          <w:lang w:val="en-GB"/>
        </w:rPr>
        <w:t>2</w:t>
      </w:r>
      <w:r w:rsidRPr="0088393A">
        <w:rPr>
          <w:sz w:val="20"/>
          <w:szCs w:val="20"/>
          <w:lang w:val="en-GB"/>
        </w:rPr>
        <w:t xml:space="preserve"> prices drop</w:t>
      </w:r>
      <w:r w:rsidR="00134593" w:rsidRPr="0088393A">
        <w:rPr>
          <w:sz w:val="20"/>
          <w:szCs w:val="20"/>
          <w:lang w:val="en-GB"/>
        </w:rPr>
        <w:t xml:space="preserve">. </w:t>
      </w:r>
      <w:r w:rsidR="002B59FB" w:rsidRPr="0088393A">
        <w:rPr>
          <w:sz w:val="20"/>
          <w:szCs w:val="20"/>
          <w:lang w:val="en-GB"/>
        </w:rPr>
        <w:t>Another</w:t>
      </w:r>
      <w:r w:rsidR="00134593" w:rsidRPr="0088393A">
        <w:rPr>
          <w:sz w:val="20"/>
          <w:szCs w:val="20"/>
          <w:lang w:val="en-GB"/>
        </w:rPr>
        <w:t xml:space="preserve"> short-term substitution is between hydrogen &amp; natural gas in a direct reduction blast furnace.</w:t>
      </w:r>
    </w:p>
    <w:p w14:paraId="3A64FDBA" w14:textId="1C43038D" w:rsidR="00AD720A" w:rsidRPr="0088393A" w:rsidRDefault="005E0C23" w:rsidP="0088393A">
      <w:pPr>
        <w:pStyle w:val="RoadefTexte"/>
        <w:numPr>
          <w:ilvl w:val="0"/>
          <w:numId w:val="4"/>
        </w:numPr>
        <w:rPr>
          <w:sz w:val="20"/>
          <w:szCs w:val="20"/>
          <w:lang w:val="en-GB"/>
        </w:rPr>
      </w:pPr>
      <w:r w:rsidRPr="0088393A">
        <w:rPr>
          <w:sz w:val="20"/>
          <w:szCs w:val="20"/>
          <w:lang w:val="en-GB"/>
        </w:rPr>
        <w:t>The option to retrofit a plant – CCS</w:t>
      </w:r>
      <w:r w:rsidR="00291573" w:rsidRPr="0088393A">
        <w:rPr>
          <w:sz w:val="20"/>
          <w:szCs w:val="20"/>
          <w:lang w:val="en-GB"/>
        </w:rPr>
        <w:t xml:space="preserve"> (Carbon Capture &amp; Storage)</w:t>
      </w:r>
      <w:r w:rsidRPr="0088393A">
        <w:rPr>
          <w:sz w:val="20"/>
          <w:szCs w:val="20"/>
          <w:lang w:val="en-GB"/>
        </w:rPr>
        <w:t>, TGR</w:t>
      </w:r>
      <w:r w:rsidR="00291573" w:rsidRPr="0088393A">
        <w:rPr>
          <w:sz w:val="20"/>
          <w:szCs w:val="20"/>
          <w:lang w:val="en-GB"/>
        </w:rPr>
        <w:t xml:space="preserve"> (Top Gas Recycling) </w:t>
      </w:r>
      <w:r w:rsidRPr="0088393A">
        <w:rPr>
          <w:sz w:val="20"/>
          <w:szCs w:val="20"/>
          <w:lang w:val="en-GB"/>
        </w:rPr>
        <w:t>solutions expand the lifetime of an asset and its energy performances</w:t>
      </w:r>
    </w:p>
    <w:p w14:paraId="0DB7A753" w14:textId="5EDA50AF" w:rsidR="005E0C23" w:rsidRPr="0088393A" w:rsidRDefault="005E0C23" w:rsidP="0088393A">
      <w:pPr>
        <w:pStyle w:val="RoadefTexte"/>
        <w:numPr>
          <w:ilvl w:val="0"/>
          <w:numId w:val="4"/>
        </w:numPr>
        <w:rPr>
          <w:sz w:val="20"/>
          <w:szCs w:val="20"/>
          <w:lang w:val="en-GB"/>
        </w:rPr>
      </w:pPr>
      <w:r w:rsidRPr="0088393A">
        <w:rPr>
          <w:sz w:val="20"/>
          <w:szCs w:val="20"/>
          <w:lang w:val="en-GB"/>
        </w:rPr>
        <w:t xml:space="preserve">The option to </w:t>
      </w:r>
      <w:r w:rsidR="00291573" w:rsidRPr="0088393A">
        <w:rPr>
          <w:sz w:val="20"/>
          <w:szCs w:val="20"/>
          <w:lang w:val="en-GB"/>
        </w:rPr>
        <w:t xml:space="preserve">invest in steps </w:t>
      </w:r>
      <w:r w:rsidRPr="0088393A">
        <w:rPr>
          <w:sz w:val="20"/>
          <w:szCs w:val="20"/>
          <w:lang w:val="en-GB"/>
        </w:rPr>
        <w:t>–</w:t>
      </w:r>
      <w:r w:rsidR="00291573" w:rsidRPr="0088393A">
        <w:rPr>
          <w:sz w:val="20"/>
          <w:szCs w:val="20"/>
          <w:lang w:val="en-GB"/>
        </w:rPr>
        <w:t xml:space="preserve"> H</w:t>
      </w:r>
      <w:r w:rsidR="00291573" w:rsidRPr="0088393A">
        <w:rPr>
          <w:sz w:val="20"/>
          <w:szCs w:val="20"/>
          <w:vertAlign w:val="subscript"/>
          <w:lang w:val="en-GB"/>
        </w:rPr>
        <w:t xml:space="preserve">2 </w:t>
      </w:r>
      <w:r w:rsidR="00291573" w:rsidRPr="0088393A">
        <w:rPr>
          <w:sz w:val="20"/>
          <w:szCs w:val="20"/>
          <w:lang w:val="en-GB"/>
        </w:rPr>
        <w:t xml:space="preserve">solutions </w:t>
      </w:r>
      <w:r w:rsidRPr="0088393A">
        <w:rPr>
          <w:sz w:val="20"/>
          <w:szCs w:val="20"/>
          <w:lang w:val="en-GB"/>
        </w:rPr>
        <w:t xml:space="preserve">can be implemented in 1 to </w:t>
      </w:r>
      <w:r w:rsidR="00134593" w:rsidRPr="0088393A">
        <w:rPr>
          <w:sz w:val="20"/>
          <w:szCs w:val="20"/>
          <w:lang w:val="en-GB"/>
        </w:rPr>
        <w:t>5</w:t>
      </w:r>
      <w:r w:rsidRPr="0088393A">
        <w:rPr>
          <w:sz w:val="20"/>
          <w:szCs w:val="20"/>
          <w:lang w:val="en-GB"/>
        </w:rPr>
        <w:t xml:space="preserve"> steps </w:t>
      </w:r>
    </w:p>
    <w:p w14:paraId="381B5202" w14:textId="4B0CDA80" w:rsidR="00134593" w:rsidRPr="0088393A" w:rsidRDefault="00134593" w:rsidP="0088393A">
      <w:pPr>
        <w:pStyle w:val="RoadefTexte"/>
        <w:rPr>
          <w:sz w:val="20"/>
          <w:szCs w:val="20"/>
          <w:lang w:val="en-GB"/>
        </w:rPr>
      </w:pPr>
    </w:p>
    <w:p w14:paraId="76EE2A84" w14:textId="262C8D02" w:rsidR="0071140E" w:rsidRPr="0088393A" w:rsidRDefault="00134593" w:rsidP="00956879">
      <w:pPr>
        <w:pStyle w:val="RoadefTexte"/>
        <w:ind w:firstLine="0"/>
        <w:rPr>
          <w:sz w:val="20"/>
          <w:szCs w:val="20"/>
          <w:lang w:val="en-GB"/>
        </w:rPr>
      </w:pPr>
      <w:r w:rsidRPr="0088393A">
        <w:rPr>
          <w:sz w:val="20"/>
          <w:szCs w:val="20"/>
          <w:lang w:val="en-GB"/>
        </w:rPr>
        <w:t>This results in a 12-lattices of technological solutions, from 2020 to 2070 to model choices made up to 2050.</w:t>
      </w:r>
      <w:r w:rsidR="00EC7D7A" w:rsidRPr="0088393A">
        <w:rPr>
          <w:sz w:val="20"/>
          <w:szCs w:val="20"/>
          <w:lang w:val="en-GB"/>
        </w:rPr>
        <w:t xml:space="preserve"> This lattice is then reduced by carbon budgeting practices trough the limitation of </w:t>
      </w:r>
      <w:r w:rsidR="002B59FB" w:rsidRPr="0088393A">
        <w:rPr>
          <w:sz w:val="20"/>
          <w:szCs w:val="20"/>
          <w:lang w:val="en-GB"/>
        </w:rPr>
        <w:t>investment</w:t>
      </w:r>
      <w:r w:rsidR="00EC7D7A" w:rsidRPr="0088393A">
        <w:rPr>
          <w:sz w:val="20"/>
          <w:szCs w:val="20"/>
          <w:lang w:val="en-GB"/>
        </w:rPr>
        <w:t xml:space="preserve"> spending on the whole period. </w:t>
      </w:r>
      <w:r w:rsidR="001A3AFE" w:rsidRPr="0088393A">
        <w:rPr>
          <w:sz w:val="20"/>
          <w:szCs w:val="20"/>
          <w:lang w:val="en-GB"/>
        </w:rPr>
        <w:t xml:space="preserve">Carbon and other commodity prices are modelled as correlated geometric </w:t>
      </w:r>
      <w:proofErr w:type="spellStart"/>
      <w:r w:rsidR="001A3AFE" w:rsidRPr="0088393A">
        <w:rPr>
          <w:sz w:val="20"/>
          <w:szCs w:val="20"/>
          <w:lang w:val="en-GB"/>
        </w:rPr>
        <w:t>brownian</w:t>
      </w:r>
      <w:proofErr w:type="spellEnd"/>
      <w:r w:rsidR="001A3AFE" w:rsidRPr="0088393A">
        <w:rPr>
          <w:sz w:val="20"/>
          <w:szCs w:val="20"/>
          <w:lang w:val="en-GB"/>
        </w:rPr>
        <w:t xml:space="preserve"> movement, with different scenarios of decorrelation, drift and volatility depending on decarbonization hypothesis of the electricity mix.</w:t>
      </w:r>
      <w:r w:rsidR="002B59FB" w:rsidRPr="0088393A">
        <w:rPr>
          <w:sz w:val="20"/>
          <w:szCs w:val="20"/>
          <w:lang w:val="en-GB"/>
        </w:rPr>
        <w:t xml:space="preserve"> The carbon price is implemented trough a modelling of the main EU CO</w:t>
      </w:r>
      <w:r w:rsidR="002B59FB" w:rsidRPr="0088393A">
        <w:rPr>
          <w:sz w:val="20"/>
          <w:szCs w:val="20"/>
          <w:vertAlign w:val="subscript"/>
          <w:lang w:val="en-GB"/>
        </w:rPr>
        <w:t>2</w:t>
      </w:r>
      <w:r w:rsidR="002B59FB" w:rsidRPr="0088393A">
        <w:rPr>
          <w:sz w:val="20"/>
          <w:szCs w:val="20"/>
          <w:lang w:val="en-GB"/>
        </w:rPr>
        <w:t xml:space="preserve"> policy- the Emissions Trading System (EU-ETS). This CO</w:t>
      </w:r>
      <w:r w:rsidR="002B59FB" w:rsidRPr="0088393A">
        <w:rPr>
          <w:sz w:val="20"/>
          <w:szCs w:val="20"/>
          <w:vertAlign w:val="subscript"/>
          <w:lang w:val="en-GB"/>
        </w:rPr>
        <w:t>2</w:t>
      </w:r>
      <w:r w:rsidR="002B59FB" w:rsidRPr="0088393A">
        <w:rPr>
          <w:sz w:val="20"/>
          <w:szCs w:val="20"/>
          <w:lang w:val="en-GB"/>
        </w:rPr>
        <w:t xml:space="preserve"> market is subjected to great regulation uncertainty as its market design was heavily changed in the past decade. </w:t>
      </w:r>
      <w:r w:rsidR="00EC7D7A" w:rsidRPr="0088393A">
        <w:rPr>
          <w:sz w:val="20"/>
          <w:szCs w:val="20"/>
          <w:lang w:val="en-GB"/>
        </w:rPr>
        <w:t xml:space="preserve">This is linked with potential technological risk scenarios of implementation failures </w:t>
      </w:r>
      <w:r w:rsidR="00657C38" w:rsidRPr="0088393A">
        <w:rPr>
          <w:sz w:val="20"/>
          <w:szCs w:val="20"/>
          <w:lang w:val="en-GB"/>
        </w:rPr>
        <w:t>thanks to</w:t>
      </w:r>
      <w:r w:rsidR="00EC7D7A" w:rsidRPr="0088393A">
        <w:rPr>
          <w:sz w:val="20"/>
          <w:szCs w:val="20"/>
          <w:lang w:val="en-GB"/>
        </w:rPr>
        <w:t xml:space="preserve"> a Poisson point process</w:t>
      </w:r>
      <w:r w:rsidR="00657C38" w:rsidRPr="0088393A">
        <w:rPr>
          <w:sz w:val="20"/>
          <w:szCs w:val="20"/>
          <w:lang w:val="en-GB"/>
        </w:rPr>
        <w:t>. Those uncertainties form</w:t>
      </w:r>
      <w:r w:rsidR="00EC7D7A" w:rsidRPr="0088393A">
        <w:rPr>
          <w:sz w:val="20"/>
          <w:szCs w:val="20"/>
          <w:lang w:val="en-GB"/>
        </w:rPr>
        <w:t xml:space="preserve"> the basis of the scenarios on which the Monte-Carlo simulations are done. For each scenario</w:t>
      </w:r>
      <w:r w:rsidR="0071140E" w:rsidRPr="0088393A">
        <w:rPr>
          <w:sz w:val="20"/>
          <w:szCs w:val="20"/>
          <w:lang w:val="en-GB"/>
        </w:rPr>
        <w:t>, and every point of the lattice</w:t>
      </w:r>
      <w:r w:rsidR="00EC7D7A" w:rsidRPr="0088393A">
        <w:rPr>
          <w:sz w:val="20"/>
          <w:szCs w:val="20"/>
          <w:lang w:val="en-GB"/>
        </w:rPr>
        <w:t xml:space="preserve"> an optimal investment sequence is calculated by a maximisation </w:t>
      </w:r>
      <w:r w:rsidR="00291573" w:rsidRPr="0088393A">
        <w:rPr>
          <w:sz w:val="20"/>
          <w:szCs w:val="20"/>
          <w:lang w:val="en-GB"/>
        </w:rPr>
        <w:t xml:space="preserve">of </w:t>
      </w:r>
      <w:r w:rsidR="00EC7D7A" w:rsidRPr="0088393A">
        <w:rPr>
          <w:sz w:val="20"/>
          <w:szCs w:val="20"/>
          <w:lang w:val="en-GB"/>
        </w:rPr>
        <w:t>the net present value</w:t>
      </w:r>
      <w:r w:rsidR="00657C38" w:rsidRPr="0088393A">
        <w:rPr>
          <w:sz w:val="20"/>
          <w:szCs w:val="20"/>
          <w:lang w:val="en-GB"/>
        </w:rPr>
        <w:t xml:space="preserve"> using dynamic programming</w:t>
      </w:r>
      <w:r w:rsidR="0071140E" w:rsidRPr="0088393A">
        <w:rPr>
          <w:sz w:val="20"/>
          <w:szCs w:val="20"/>
          <w:lang w:val="en-GB"/>
        </w:rPr>
        <w:t xml:space="preserve">. This both include the certain cash-flow for the next year, and the </w:t>
      </w:r>
      <w:r w:rsidR="00291573" w:rsidRPr="0088393A">
        <w:rPr>
          <w:sz w:val="20"/>
          <w:szCs w:val="20"/>
          <w:lang w:val="en-GB"/>
        </w:rPr>
        <w:t xml:space="preserve">actualised </w:t>
      </w:r>
      <w:r w:rsidR="0071140E" w:rsidRPr="0088393A">
        <w:rPr>
          <w:sz w:val="20"/>
          <w:szCs w:val="20"/>
          <w:lang w:val="en-GB"/>
        </w:rPr>
        <w:t>expected value of all potential assets depending on the anticipation of the stochastic commodities.</w:t>
      </w:r>
      <w:r w:rsidR="00291573" w:rsidRPr="0088393A">
        <w:rPr>
          <w:sz w:val="20"/>
          <w:szCs w:val="20"/>
          <w:lang w:val="en-GB"/>
        </w:rPr>
        <w:t xml:space="preserve"> Actualisations rely on comparing present and future cash-flows using a discount rate to represent the change</w:t>
      </w:r>
      <w:r w:rsidR="003C37BA" w:rsidRPr="0088393A">
        <w:rPr>
          <w:sz w:val="20"/>
          <w:szCs w:val="20"/>
          <w:lang w:val="en-GB"/>
        </w:rPr>
        <w:t xml:space="preserve"> in</w:t>
      </w:r>
      <w:r w:rsidR="00291573" w:rsidRPr="0088393A">
        <w:rPr>
          <w:sz w:val="20"/>
          <w:szCs w:val="20"/>
          <w:lang w:val="en-GB"/>
        </w:rPr>
        <w:t xml:space="preserve"> money’s value. </w:t>
      </w:r>
      <w:r w:rsidR="003C37BA" w:rsidRPr="0088393A">
        <w:rPr>
          <w:sz w:val="20"/>
          <w:szCs w:val="20"/>
          <w:lang w:val="en-GB"/>
        </w:rPr>
        <w:t>This value</w:t>
      </w:r>
      <w:r w:rsidR="00291573" w:rsidRPr="0088393A">
        <w:rPr>
          <w:sz w:val="20"/>
          <w:szCs w:val="20"/>
          <w:lang w:val="en-GB"/>
        </w:rPr>
        <w:t xml:space="preserve"> can change depending on many factors among which </w:t>
      </w:r>
      <w:r w:rsidR="00231AA4" w:rsidRPr="0088393A">
        <w:rPr>
          <w:sz w:val="20"/>
          <w:szCs w:val="20"/>
          <w:lang w:val="en-GB"/>
        </w:rPr>
        <w:t>are:</w:t>
      </w:r>
      <w:r w:rsidR="003C37BA" w:rsidRPr="0088393A">
        <w:rPr>
          <w:sz w:val="20"/>
          <w:szCs w:val="20"/>
          <w:lang w:val="en-GB"/>
        </w:rPr>
        <w:t xml:space="preserve"> </w:t>
      </w:r>
      <w:r w:rsidR="00291573" w:rsidRPr="0088393A">
        <w:rPr>
          <w:sz w:val="20"/>
          <w:szCs w:val="20"/>
          <w:lang w:val="en-GB"/>
        </w:rPr>
        <w:t xml:space="preserve">the </w:t>
      </w:r>
      <w:r w:rsidR="00956879" w:rsidRPr="0088393A">
        <w:rPr>
          <w:sz w:val="20"/>
          <w:szCs w:val="20"/>
          <w:lang w:val="en-GB"/>
        </w:rPr>
        <w:t>actor’s</w:t>
      </w:r>
      <w:r w:rsidR="00291573" w:rsidRPr="0088393A">
        <w:rPr>
          <w:sz w:val="20"/>
          <w:szCs w:val="20"/>
          <w:lang w:val="en-GB"/>
        </w:rPr>
        <w:t xml:space="preserve"> perspective (private or public), the interest rate and the risk factors that lead to its calculation, the cost of capital</w:t>
      </w:r>
      <w:r w:rsidR="0013103D" w:rsidRPr="0088393A">
        <w:rPr>
          <w:sz w:val="20"/>
          <w:szCs w:val="20"/>
          <w:lang w:val="en-GB"/>
        </w:rPr>
        <w:t>,</w:t>
      </w:r>
      <w:r w:rsidR="00291573" w:rsidRPr="0088393A">
        <w:rPr>
          <w:sz w:val="20"/>
          <w:szCs w:val="20"/>
          <w:lang w:val="en-GB"/>
        </w:rPr>
        <w:t xml:space="preserve"> the time preference, then anticipated future wellness. In </w:t>
      </w:r>
      <w:r w:rsidR="00B124D0" w:rsidRPr="0088393A">
        <w:rPr>
          <w:sz w:val="20"/>
          <w:szCs w:val="20"/>
          <w:lang w:val="en-GB"/>
        </w:rPr>
        <w:t>a</w:t>
      </w:r>
      <w:r w:rsidR="00291573" w:rsidRPr="0088393A">
        <w:rPr>
          <w:sz w:val="20"/>
          <w:szCs w:val="20"/>
          <w:lang w:val="en-GB"/>
        </w:rPr>
        <w:t xml:space="preserve"> Net Present Value (NPV) framework, actualisation is set at the same discount rate for all investments, while the current RO framework only </w:t>
      </w:r>
      <w:r w:rsidR="00657C38" w:rsidRPr="0088393A">
        <w:rPr>
          <w:sz w:val="20"/>
          <w:szCs w:val="20"/>
          <w:lang w:val="en-GB"/>
        </w:rPr>
        <w:t>needs</w:t>
      </w:r>
      <w:r w:rsidR="00291573" w:rsidRPr="0088393A">
        <w:rPr>
          <w:sz w:val="20"/>
          <w:szCs w:val="20"/>
          <w:lang w:val="en-GB"/>
        </w:rPr>
        <w:t xml:space="preserve"> the </w:t>
      </w:r>
      <w:r w:rsidR="00C07077" w:rsidRPr="0088393A">
        <w:rPr>
          <w:sz w:val="20"/>
          <w:szCs w:val="20"/>
          <w:lang w:val="en-GB"/>
        </w:rPr>
        <w:t>risk-free</w:t>
      </w:r>
      <w:r w:rsidR="00291573" w:rsidRPr="0088393A">
        <w:rPr>
          <w:sz w:val="20"/>
          <w:szCs w:val="20"/>
          <w:lang w:val="en-GB"/>
        </w:rPr>
        <w:t xml:space="preserve"> discount </w:t>
      </w:r>
      <w:r w:rsidR="00231AA4" w:rsidRPr="0088393A">
        <w:rPr>
          <w:sz w:val="20"/>
          <w:szCs w:val="20"/>
          <w:lang w:val="en-GB"/>
        </w:rPr>
        <w:t>to</w:t>
      </w:r>
      <w:r w:rsidR="00956879">
        <w:rPr>
          <w:sz w:val="20"/>
          <w:szCs w:val="20"/>
          <w:lang w:val="en-GB"/>
        </w:rPr>
        <w:t xml:space="preserve"> </w:t>
      </w:r>
      <w:r w:rsidR="00291573" w:rsidRPr="0088393A">
        <w:rPr>
          <w:sz w:val="20"/>
          <w:szCs w:val="20"/>
          <w:lang w:val="en-GB"/>
        </w:rPr>
        <w:t>explicitly define the projects risks.</w:t>
      </w:r>
    </w:p>
    <w:p w14:paraId="7C5810CA" w14:textId="368A37E5" w:rsidR="002271D1" w:rsidRPr="0088393A" w:rsidRDefault="002271D1" w:rsidP="00956879">
      <w:pPr>
        <w:pStyle w:val="RoadefTexte"/>
        <w:ind w:firstLine="0"/>
        <w:rPr>
          <w:sz w:val="20"/>
          <w:szCs w:val="20"/>
          <w:lang w:val="en-GB"/>
        </w:rPr>
      </w:pPr>
      <w:r w:rsidRPr="0088393A">
        <w:rPr>
          <w:sz w:val="20"/>
          <w:szCs w:val="20"/>
          <w:lang w:val="en-GB"/>
        </w:rPr>
        <w:lastRenderedPageBreak/>
        <w:t xml:space="preserve">This work is the first to study compound real options in a </w:t>
      </w:r>
      <w:proofErr w:type="spellStart"/>
      <w:r w:rsidRPr="0088393A">
        <w:rPr>
          <w:sz w:val="20"/>
          <w:szCs w:val="20"/>
          <w:lang w:val="en-GB"/>
        </w:rPr>
        <w:t>Montecarlo</w:t>
      </w:r>
      <w:proofErr w:type="spellEnd"/>
      <w:r w:rsidRPr="0088393A">
        <w:rPr>
          <w:sz w:val="20"/>
          <w:szCs w:val="20"/>
          <w:lang w:val="en-GB"/>
        </w:rPr>
        <w:t xml:space="preserve"> simulation framework and as thus we exhibit some stability and validation parameters on the shape of the distributed perceived value.</w:t>
      </w:r>
    </w:p>
    <w:p w14:paraId="58FAEC60" w14:textId="4C93384D" w:rsidR="00AD720A" w:rsidRPr="0088393A" w:rsidRDefault="0071140E" w:rsidP="00956879">
      <w:pPr>
        <w:pStyle w:val="RoadefTexte"/>
        <w:ind w:firstLine="0"/>
        <w:rPr>
          <w:sz w:val="20"/>
          <w:szCs w:val="20"/>
          <w:lang w:val="en-GB"/>
        </w:rPr>
      </w:pPr>
      <w:r w:rsidRPr="0088393A">
        <w:rPr>
          <w:sz w:val="20"/>
          <w:szCs w:val="20"/>
          <w:lang w:val="en-GB"/>
        </w:rPr>
        <w:t>From the optimal decision buil</w:t>
      </w:r>
      <w:r w:rsidR="003C37BA" w:rsidRPr="0088393A">
        <w:rPr>
          <w:sz w:val="20"/>
          <w:szCs w:val="20"/>
          <w:lang w:val="en-GB"/>
        </w:rPr>
        <w:t>t</w:t>
      </w:r>
      <w:r w:rsidRPr="0088393A">
        <w:rPr>
          <w:sz w:val="20"/>
          <w:szCs w:val="20"/>
          <w:lang w:val="en-GB"/>
        </w:rPr>
        <w:t xml:space="preserve"> for every scenario, at any point of the lattice, a more interpretable representation is constructed as the average optimal investment sequence.</w:t>
      </w:r>
      <w:r w:rsidR="00291573" w:rsidRPr="0088393A">
        <w:rPr>
          <w:sz w:val="20"/>
          <w:szCs w:val="20"/>
          <w:lang w:val="en-GB"/>
        </w:rPr>
        <w:t xml:space="preserve"> </w:t>
      </w:r>
      <w:r w:rsidR="001A3AFE" w:rsidRPr="0088393A">
        <w:rPr>
          <w:sz w:val="20"/>
          <w:szCs w:val="20"/>
          <w:lang w:val="en-GB"/>
        </w:rPr>
        <w:t>This framework also allows to assess the impact of Carbon for Difference</w:t>
      </w:r>
      <w:r w:rsidR="00291573" w:rsidRPr="0088393A">
        <w:rPr>
          <w:sz w:val="20"/>
          <w:szCs w:val="20"/>
          <w:lang w:val="en-GB"/>
        </w:rPr>
        <w:t xml:space="preserve"> (</w:t>
      </w:r>
      <w:proofErr w:type="spellStart"/>
      <w:r w:rsidR="00291573" w:rsidRPr="0088393A">
        <w:rPr>
          <w:sz w:val="20"/>
          <w:szCs w:val="20"/>
          <w:lang w:val="en-GB"/>
        </w:rPr>
        <w:t>CfD</w:t>
      </w:r>
      <w:proofErr w:type="spellEnd"/>
      <w:r w:rsidR="00291573" w:rsidRPr="0088393A">
        <w:rPr>
          <w:sz w:val="20"/>
          <w:szCs w:val="20"/>
          <w:lang w:val="en-GB"/>
        </w:rPr>
        <w:t>)</w:t>
      </w:r>
      <w:r w:rsidR="001A3AFE" w:rsidRPr="0088393A">
        <w:rPr>
          <w:sz w:val="20"/>
          <w:szCs w:val="20"/>
          <w:lang w:val="en-GB"/>
        </w:rPr>
        <w:t xml:space="preserve">, where the governments would </w:t>
      </w:r>
      <w:proofErr w:type="spellStart"/>
      <w:r w:rsidR="001A3AFE" w:rsidRPr="0088393A">
        <w:rPr>
          <w:sz w:val="20"/>
          <w:szCs w:val="20"/>
          <w:lang w:val="en-GB"/>
        </w:rPr>
        <w:t>derisk</w:t>
      </w:r>
      <w:proofErr w:type="spellEnd"/>
      <w:r w:rsidR="001A3AFE" w:rsidRPr="0088393A">
        <w:rPr>
          <w:sz w:val="20"/>
          <w:szCs w:val="20"/>
          <w:lang w:val="en-GB"/>
        </w:rPr>
        <w:t xml:space="preserve"> investments by guaranteeing a carbon or commodity price over the investment’s life</w:t>
      </w:r>
      <w:r w:rsidR="00291573" w:rsidRPr="0088393A">
        <w:rPr>
          <w:sz w:val="20"/>
          <w:szCs w:val="20"/>
          <w:lang w:val="en-GB"/>
        </w:rPr>
        <w:t xml:space="preserve"> and reducing the volatility of carbon markets</w:t>
      </w:r>
      <w:r w:rsidR="001A3AFE" w:rsidRPr="0088393A">
        <w:rPr>
          <w:sz w:val="20"/>
          <w:szCs w:val="20"/>
          <w:lang w:val="en-GB"/>
        </w:rPr>
        <w:t>. Thus, different policies efficiency to reduce overall CO2 emissions and achieve the 2050 goals can be assessed.</w:t>
      </w:r>
    </w:p>
    <w:p w14:paraId="49BFAA28" w14:textId="77777777" w:rsidR="002271D1" w:rsidRPr="0088393A" w:rsidRDefault="002271D1" w:rsidP="0088393A">
      <w:pPr>
        <w:pStyle w:val="RoadefTexte"/>
        <w:rPr>
          <w:sz w:val="20"/>
          <w:szCs w:val="20"/>
          <w:lang w:val="en-GB"/>
        </w:rPr>
      </w:pPr>
    </w:p>
    <w:p w14:paraId="7C8AC149" w14:textId="5C657ECA" w:rsidR="001A3AFE" w:rsidRPr="0088393A" w:rsidRDefault="001A3AFE" w:rsidP="0088393A">
      <w:pPr>
        <w:pStyle w:val="RoadefTitreNiveau1"/>
        <w:spacing w:before="0" w:after="0"/>
        <w:rPr>
          <w:lang w:val="en-GB"/>
        </w:rPr>
      </w:pPr>
      <w:r w:rsidRPr="0088393A">
        <w:rPr>
          <w:lang w:val="en-GB"/>
        </w:rPr>
        <w:t>Results</w:t>
      </w:r>
      <w:bookmarkStart w:id="1" w:name="_Hlk120720356"/>
      <w:r w:rsidRPr="0088393A">
        <w:rPr>
          <w:lang w:val="en-GB"/>
        </w:rPr>
        <w:t xml:space="preserve"> </w:t>
      </w:r>
      <w:bookmarkEnd w:id="1"/>
    </w:p>
    <w:p w14:paraId="3E8A72A7" w14:textId="4DB31396" w:rsidR="001A3AFE" w:rsidRPr="0088393A" w:rsidRDefault="001A3AFE" w:rsidP="00956879">
      <w:pPr>
        <w:pStyle w:val="RoadefTexte"/>
        <w:ind w:firstLine="0"/>
        <w:rPr>
          <w:sz w:val="20"/>
          <w:szCs w:val="20"/>
          <w:lang w:val="en-GB"/>
        </w:rPr>
      </w:pPr>
      <w:r w:rsidRPr="0088393A">
        <w:rPr>
          <w:sz w:val="20"/>
          <w:szCs w:val="20"/>
          <w:lang w:val="en-GB"/>
        </w:rPr>
        <w:t>We show that carbon price volatility</w:t>
      </w:r>
      <w:r w:rsidR="00310171" w:rsidRPr="0088393A">
        <w:rPr>
          <w:sz w:val="20"/>
          <w:szCs w:val="20"/>
          <w:lang w:val="en-GB"/>
        </w:rPr>
        <w:t xml:space="preserve">, considered </w:t>
      </w:r>
      <w:r w:rsidRPr="0088393A">
        <w:rPr>
          <w:sz w:val="20"/>
          <w:szCs w:val="20"/>
          <w:lang w:val="en-GB"/>
        </w:rPr>
        <w:t>with a fixed 2050 target, has a strong impact on investment decision</w:t>
      </w:r>
      <w:r w:rsidR="00B038EC" w:rsidRPr="0088393A">
        <w:rPr>
          <w:sz w:val="20"/>
          <w:szCs w:val="20"/>
          <w:lang w:val="en-GB"/>
        </w:rPr>
        <w:t>s</w:t>
      </w:r>
      <w:r w:rsidRPr="0088393A">
        <w:rPr>
          <w:sz w:val="20"/>
          <w:szCs w:val="20"/>
          <w:lang w:val="en-GB"/>
        </w:rPr>
        <w:t xml:space="preserve"> and might greatly increase the cumulative emissions by delaying investments in net-zero compatible assets.</w:t>
      </w:r>
      <w:r w:rsidR="0071140E" w:rsidRPr="0088393A">
        <w:rPr>
          <w:sz w:val="20"/>
          <w:szCs w:val="20"/>
          <w:lang w:val="en-GB"/>
        </w:rPr>
        <w:t xml:space="preserve"> Common </w:t>
      </w:r>
      <w:r w:rsidR="00291573" w:rsidRPr="0088393A">
        <w:rPr>
          <w:sz w:val="20"/>
          <w:szCs w:val="20"/>
          <w:lang w:val="en-GB"/>
        </w:rPr>
        <w:t xml:space="preserve">NPV framework </w:t>
      </w:r>
      <w:r w:rsidR="0071140E" w:rsidRPr="0088393A">
        <w:rPr>
          <w:sz w:val="20"/>
          <w:szCs w:val="20"/>
          <w:lang w:val="en-GB"/>
        </w:rPr>
        <w:t>with deterministic prices consider that a 200€/tCO</w:t>
      </w:r>
      <w:r w:rsidR="0071140E" w:rsidRPr="0088393A">
        <w:rPr>
          <w:sz w:val="20"/>
          <w:szCs w:val="20"/>
          <w:vertAlign w:val="subscript"/>
          <w:lang w:val="en-GB"/>
        </w:rPr>
        <w:t>2</w:t>
      </w:r>
      <w:r w:rsidR="0071140E" w:rsidRPr="0088393A">
        <w:rPr>
          <w:sz w:val="20"/>
          <w:szCs w:val="20"/>
          <w:lang w:val="en-GB"/>
        </w:rPr>
        <w:t xml:space="preserve"> </w:t>
      </w:r>
      <w:r w:rsidR="00DC7290" w:rsidRPr="0088393A">
        <w:rPr>
          <w:sz w:val="20"/>
          <w:szCs w:val="20"/>
          <w:lang w:val="en-GB"/>
        </w:rPr>
        <w:t>target in 2050</w:t>
      </w:r>
      <w:r w:rsidR="0071140E" w:rsidRPr="0088393A">
        <w:rPr>
          <w:sz w:val="20"/>
          <w:szCs w:val="20"/>
          <w:lang w:val="en-GB"/>
        </w:rPr>
        <w:t xml:space="preserve"> should be enough to </w:t>
      </w:r>
      <w:r w:rsidR="00310171" w:rsidRPr="0088393A">
        <w:rPr>
          <w:sz w:val="20"/>
          <w:szCs w:val="20"/>
          <w:lang w:val="en-GB"/>
        </w:rPr>
        <w:t>motivate</w:t>
      </w:r>
      <w:r w:rsidR="0071140E" w:rsidRPr="0088393A">
        <w:rPr>
          <w:sz w:val="20"/>
          <w:szCs w:val="20"/>
          <w:lang w:val="en-GB"/>
        </w:rPr>
        <w:t xml:space="preserve"> an investment in a hydrogen steel plant</w:t>
      </w:r>
      <w:r w:rsidR="00310171" w:rsidRPr="0088393A">
        <w:rPr>
          <w:sz w:val="20"/>
          <w:szCs w:val="20"/>
          <w:lang w:val="en-GB"/>
        </w:rPr>
        <w:t xml:space="preserve"> b</w:t>
      </w:r>
      <w:r w:rsidR="0071140E" w:rsidRPr="0088393A">
        <w:rPr>
          <w:sz w:val="20"/>
          <w:szCs w:val="20"/>
          <w:lang w:val="en-GB"/>
        </w:rPr>
        <w:t xml:space="preserve">ut </w:t>
      </w:r>
      <w:r w:rsidR="00310171" w:rsidRPr="0088393A">
        <w:rPr>
          <w:sz w:val="20"/>
          <w:szCs w:val="20"/>
          <w:lang w:val="en-GB"/>
        </w:rPr>
        <w:t xml:space="preserve">as </w:t>
      </w:r>
      <w:r w:rsidR="0071140E" w:rsidRPr="0088393A">
        <w:rPr>
          <w:sz w:val="20"/>
          <w:szCs w:val="20"/>
          <w:lang w:val="en-GB"/>
        </w:rPr>
        <w:t xml:space="preserve">this breakeven point could be achieved too late, many blast furnaces would already have been refurbished at this point. Those analysis tend to </w:t>
      </w:r>
      <w:r w:rsidR="00310171" w:rsidRPr="0088393A">
        <w:rPr>
          <w:sz w:val="20"/>
          <w:szCs w:val="20"/>
          <w:lang w:val="en-GB"/>
        </w:rPr>
        <w:t xml:space="preserve">still </w:t>
      </w:r>
      <w:r w:rsidR="0071140E" w:rsidRPr="0088393A">
        <w:rPr>
          <w:sz w:val="20"/>
          <w:szCs w:val="20"/>
          <w:lang w:val="en-GB"/>
        </w:rPr>
        <w:t xml:space="preserve">anticipate a great demand in coal in 2050. Our </w:t>
      </w:r>
      <w:r w:rsidR="00310171" w:rsidRPr="0088393A">
        <w:rPr>
          <w:sz w:val="20"/>
          <w:szCs w:val="20"/>
          <w:lang w:val="en-GB"/>
        </w:rPr>
        <w:t>work</w:t>
      </w:r>
      <w:r w:rsidR="0071140E" w:rsidRPr="0088393A">
        <w:rPr>
          <w:sz w:val="20"/>
          <w:szCs w:val="20"/>
          <w:lang w:val="en-GB"/>
        </w:rPr>
        <w:t xml:space="preserve"> shows that considering compound investments</w:t>
      </w:r>
      <w:r w:rsidR="00310171" w:rsidRPr="0088393A">
        <w:rPr>
          <w:sz w:val="20"/>
          <w:szCs w:val="20"/>
          <w:lang w:val="en-GB"/>
        </w:rPr>
        <w:t>, a high rate of hydrogen plants is reachable if long term incentives are clarified</w:t>
      </w:r>
      <w:r w:rsidR="0071140E" w:rsidRPr="0088393A">
        <w:rPr>
          <w:sz w:val="20"/>
          <w:szCs w:val="20"/>
          <w:lang w:val="en-GB"/>
        </w:rPr>
        <w:t>. Nevertheless, adding volatility on the CO</w:t>
      </w:r>
      <w:r w:rsidR="0071140E" w:rsidRPr="0088393A">
        <w:rPr>
          <w:sz w:val="20"/>
          <w:szCs w:val="20"/>
          <w:vertAlign w:val="subscript"/>
          <w:lang w:val="en-GB"/>
        </w:rPr>
        <w:t xml:space="preserve">2 </w:t>
      </w:r>
      <w:r w:rsidR="0071140E" w:rsidRPr="0088393A">
        <w:rPr>
          <w:sz w:val="20"/>
          <w:szCs w:val="20"/>
          <w:lang w:val="en-GB"/>
        </w:rPr>
        <w:t>price can result in coal lock-in through energy efficiency investments instead of investing in breakthrough</w:t>
      </w:r>
      <w:r w:rsidR="00B038EC" w:rsidRPr="0088393A">
        <w:rPr>
          <w:sz w:val="20"/>
          <w:szCs w:val="20"/>
          <w:lang w:val="en-GB"/>
        </w:rPr>
        <w:t xml:space="preserve"> technologies</w:t>
      </w:r>
      <w:r w:rsidR="0071140E" w:rsidRPr="0088393A">
        <w:rPr>
          <w:sz w:val="20"/>
          <w:szCs w:val="20"/>
          <w:lang w:val="en-GB"/>
        </w:rPr>
        <w:t>. This can be partially overc</w:t>
      </w:r>
      <w:r w:rsidR="00DC7290" w:rsidRPr="0088393A">
        <w:rPr>
          <w:sz w:val="20"/>
          <w:szCs w:val="20"/>
          <w:lang w:val="en-GB"/>
        </w:rPr>
        <w:t>o</w:t>
      </w:r>
      <w:r w:rsidR="0071140E" w:rsidRPr="0088393A">
        <w:rPr>
          <w:sz w:val="20"/>
          <w:szCs w:val="20"/>
          <w:lang w:val="en-GB"/>
        </w:rPr>
        <w:t xml:space="preserve">me thanks to carbon capture and storage </w:t>
      </w:r>
      <w:r w:rsidR="00695F7D" w:rsidRPr="0088393A">
        <w:rPr>
          <w:sz w:val="20"/>
          <w:szCs w:val="20"/>
          <w:lang w:val="en-GB"/>
        </w:rPr>
        <w:t xml:space="preserve">or </w:t>
      </w:r>
      <w:r w:rsidR="00DC7290" w:rsidRPr="0088393A">
        <w:rPr>
          <w:sz w:val="20"/>
          <w:szCs w:val="20"/>
          <w:lang w:val="en-GB"/>
        </w:rPr>
        <w:t>biomass use but would result in 2 to 3 times more emitting steel plant</w:t>
      </w:r>
      <w:r w:rsidR="00695F7D" w:rsidRPr="0088393A">
        <w:rPr>
          <w:sz w:val="20"/>
          <w:szCs w:val="20"/>
          <w:lang w:val="en-GB"/>
        </w:rPr>
        <w:t>s</w:t>
      </w:r>
      <w:r w:rsidR="00DC7290" w:rsidRPr="0088393A">
        <w:rPr>
          <w:sz w:val="20"/>
          <w:szCs w:val="20"/>
          <w:lang w:val="en-GB"/>
        </w:rPr>
        <w:t xml:space="preserve"> in 2050, and 3 to 6 times more CO2 emissions from 2020 to 2050</w:t>
      </w:r>
      <w:r w:rsidR="00310171" w:rsidRPr="0088393A">
        <w:rPr>
          <w:sz w:val="20"/>
          <w:szCs w:val="20"/>
          <w:lang w:val="en-GB"/>
        </w:rPr>
        <w:t>. Natural</w:t>
      </w:r>
      <w:r w:rsidR="00695F7D" w:rsidRPr="0088393A">
        <w:rPr>
          <w:sz w:val="20"/>
          <w:szCs w:val="20"/>
          <w:lang w:val="en-GB"/>
        </w:rPr>
        <w:t xml:space="preserve"> gas</w:t>
      </w:r>
      <w:r w:rsidR="00310171" w:rsidRPr="0088393A">
        <w:rPr>
          <w:sz w:val="20"/>
          <w:szCs w:val="20"/>
          <w:lang w:val="en-GB"/>
        </w:rPr>
        <w:t xml:space="preserve"> reduction is a bridge technology to hydrogen, that make the investment </w:t>
      </w:r>
      <w:r w:rsidR="00956879" w:rsidRPr="0088393A">
        <w:rPr>
          <w:sz w:val="20"/>
          <w:szCs w:val="20"/>
          <w:lang w:val="en-GB"/>
        </w:rPr>
        <w:t>cheaper</w:t>
      </w:r>
      <w:r w:rsidR="00350AB3" w:rsidRPr="0088393A">
        <w:rPr>
          <w:sz w:val="20"/>
          <w:szCs w:val="20"/>
          <w:lang w:val="en-GB"/>
        </w:rPr>
        <w:t xml:space="preserve"> in an uncertain </w:t>
      </w:r>
      <w:r w:rsidR="00956879" w:rsidRPr="0088393A">
        <w:rPr>
          <w:sz w:val="20"/>
          <w:szCs w:val="20"/>
          <w:lang w:val="en-GB"/>
        </w:rPr>
        <w:t>environment</w:t>
      </w:r>
      <w:r w:rsidR="00310171" w:rsidRPr="0088393A">
        <w:rPr>
          <w:sz w:val="20"/>
          <w:szCs w:val="20"/>
          <w:lang w:val="en-GB"/>
        </w:rPr>
        <w:t xml:space="preserve">, less risky </w:t>
      </w:r>
      <w:r w:rsidR="00350AB3" w:rsidRPr="0088393A">
        <w:rPr>
          <w:sz w:val="20"/>
          <w:szCs w:val="20"/>
          <w:lang w:val="en-GB"/>
        </w:rPr>
        <w:t>and</w:t>
      </w:r>
      <w:r w:rsidR="00310171" w:rsidRPr="0088393A">
        <w:rPr>
          <w:sz w:val="20"/>
          <w:szCs w:val="20"/>
          <w:lang w:val="en-GB"/>
        </w:rPr>
        <w:t xml:space="preserve"> with a lower lock-in risk as it </w:t>
      </w:r>
      <w:r w:rsidR="00CF36C3">
        <w:rPr>
          <w:sz w:val="20"/>
          <w:szCs w:val="20"/>
          <w:lang w:val="en-GB"/>
        </w:rPr>
        <w:t>h</w:t>
      </w:r>
      <w:r w:rsidR="00310171" w:rsidRPr="0088393A">
        <w:rPr>
          <w:sz w:val="20"/>
          <w:szCs w:val="20"/>
          <w:lang w:val="en-GB"/>
        </w:rPr>
        <w:t>as few</w:t>
      </w:r>
      <w:r w:rsidR="00B51A3E" w:rsidRPr="0088393A">
        <w:rPr>
          <w:sz w:val="20"/>
          <w:szCs w:val="20"/>
          <w:lang w:val="en-GB"/>
        </w:rPr>
        <w:t>er</w:t>
      </w:r>
      <w:r w:rsidR="00310171" w:rsidRPr="0088393A">
        <w:rPr>
          <w:sz w:val="20"/>
          <w:szCs w:val="20"/>
          <w:lang w:val="en-GB"/>
        </w:rPr>
        <w:t xml:space="preserve"> operational options.</w:t>
      </w:r>
    </w:p>
    <w:p w14:paraId="26CAEA3D" w14:textId="68B02E03" w:rsidR="00AD720A" w:rsidRDefault="00DC7290" w:rsidP="00956879">
      <w:pPr>
        <w:pStyle w:val="RoadefTexte"/>
        <w:ind w:firstLine="0"/>
        <w:rPr>
          <w:sz w:val="20"/>
          <w:szCs w:val="20"/>
          <w:lang w:val="en-GB"/>
        </w:rPr>
      </w:pPr>
      <w:r w:rsidRPr="0088393A">
        <w:rPr>
          <w:sz w:val="20"/>
          <w:szCs w:val="20"/>
          <w:lang w:val="en-GB"/>
        </w:rPr>
        <w:t xml:space="preserve">Finally, the right combination of public support in the form of </w:t>
      </w:r>
      <w:proofErr w:type="spellStart"/>
      <w:r w:rsidRPr="0088393A">
        <w:rPr>
          <w:sz w:val="20"/>
          <w:szCs w:val="20"/>
          <w:lang w:val="en-GB"/>
        </w:rPr>
        <w:t>CfD</w:t>
      </w:r>
      <w:proofErr w:type="spellEnd"/>
      <w:r w:rsidRPr="0088393A">
        <w:rPr>
          <w:sz w:val="20"/>
          <w:szCs w:val="20"/>
          <w:lang w:val="en-GB"/>
        </w:rPr>
        <w:t xml:space="preserve"> and CAPEX subsidies is shown to vary a lot depending on the capital limitation and CO</w:t>
      </w:r>
      <w:r w:rsidRPr="0088393A">
        <w:rPr>
          <w:sz w:val="20"/>
          <w:szCs w:val="20"/>
          <w:vertAlign w:val="subscript"/>
          <w:lang w:val="en-GB"/>
        </w:rPr>
        <w:t>2</w:t>
      </w:r>
      <w:r w:rsidRPr="0088393A">
        <w:rPr>
          <w:sz w:val="20"/>
          <w:szCs w:val="20"/>
          <w:lang w:val="en-GB"/>
        </w:rPr>
        <w:t xml:space="preserve"> volatility. Under a 5% </w:t>
      </w:r>
      <w:proofErr w:type="spellStart"/>
      <w:r w:rsidRPr="0088393A">
        <w:rPr>
          <w:sz w:val="20"/>
          <w:szCs w:val="20"/>
          <w:lang w:val="en-GB"/>
        </w:rPr>
        <w:t>volality</w:t>
      </w:r>
      <w:proofErr w:type="spellEnd"/>
      <w:r w:rsidRPr="0088393A">
        <w:rPr>
          <w:sz w:val="20"/>
          <w:szCs w:val="20"/>
          <w:lang w:val="en-GB"/>
        </w:rPr>
        <w:t xml:space="preserve">, </w:t>
      </w:r>
      <w:proofErr w:type="spellStart"/>
      <w:r w:rsidRPr="0088393A">
        <w:rPr>
          <w:sz w:val="20"/>
          <w:szCs w:val="20"/>
          <w:lang w:val="en-GB"/>
        </w:rPr>
        <w:t>CfD</w:t>
      </w:r>
      <w:proofErr w:type="spellEnd"/>
      <w:r w:rsidRPr="0088393A">
        <w:rPr>
          <w:sz w:val="20"/>
          <w:szCs w:val="20"/>
          <w:lang w:val="en-GB"/>
        </w:rPr>
        <w:t xml:space="preserve"> have no noticeable effect, while they should represent between 60 to 70% of the public support scheme </w:t>
      </w:r>
      <w:r w:rsidR="00695F7D" w:rsidRPr="0088393A">
        <w:rPr>
          <w:sz w:val="20"/>
          <w:szCs w:val="20"/>
          <w:lang w:val="en-GB"/>
        </w:rPr>
        <w:t xml:space="preserve">if </w:t>
      </w:r>
      <w:r w:rsidRPr="0088393A">
        <w:rPr>
          <w:sz w:val="20"/>
          <w:szCs w:val="20"/>
          <w:lang w:val="en-GB"/>
        </w:rPr>
        <w:t xml:space="preserve">volatility is over 10%. In all cases </w:t>
      </w:r>
      <w:proofErr w:type="spellStart"/>
      <w:r w:rsidRPr="0088393A">
        <w:rPr>
          <w:sz w:val="20"/>
          <w:szCs w:val="20"/>
          <w:lang w:val="en-GB"/>
        </w:rPr>
        <w:t>CfD</w:t>
      </w:r>
      <w:proofErr w:type="spellEnd"/>
      <w:r w:rsidRPr="0088393A">
        <w:rPr>
          <w:sz w:val="20"/>
          <w:szCs w:val="20"/>
          <w:lang w:val="en-GB"/>
        </w:rPr>
        <w:t xml:space="preserve"> have the particularity of being very cost effective</w:t>
      </w:r>
      <w:r w:rsidR="00B51A3E" w:rsidRPr="0088393A">
        <w:rPr>
          <w:sz w:val="20"/>
          <w:szCs w:val="20"/>
          <w:lang w:val="en-GB"/>
        </w:rPr>
        <w:t xml:space="preserve"> compared to </w:t>
      </w:r>
      <w:r w:rsidRPr="0088393A">
        <w:rPr>
          <w:sz w:val="20"/>
          <w:szCs w:val="20"/>
          <w:lang w:val="en-GB"/>
        </w:rPr>
        <w:t>CAPEX subsidies</w:t>
      </w:r>
      <w:r w:rsidR="0020197E" w:rsidRPr="0088393A">
        <w:rPr>
          <w:sz w:val="20"/>
          <w:szCs w:val="20"/>
          <w:lang w:val="en-GB"/>
        </w:rPr>
        <w:t xml:space="preserve"> </w:t>
      </w:r>
      <w:r w:rsidR="00B51A3E" w:rsidRPr="0088393A">
        <w:rPr>
          <w:sz w:val="20"/>
          <w:szCs w:val="20"/>
          <w:lang w:val="en-GB"/>
        </w:rPr>
        <w:t xml:space="preserve">that </w:t>
      </w:r>
      <w:r w:rsidRPr="0088393A">
        <w:rPr>
          <w:sz w:val="20"/>
          <w:szCs w:val="20"/>
          <w:lang w:val="en-GB"/>
        </w:rPr>
        <w:t xml:space="preserve">in some high volatility </w:t>
      </w:r>
      <w:r w:rsidR="003D6A76" w:rsidRPr="0088393A">
        <w:rPr>
          <w:sz w:val="20"/>
          <w:szCs w:val="20"/>
          <w:lang w:val="en-GB"/>
        </w:rPr>
        <w:t>environments</w:t>
      </w:r>
      <w:r w:rsidRPr="0088393A">
        <w:rPr>
          <w:sz w:val="20"/>
          <w:szCs w:val="20"/>
          <w:lang w:val="en-GB"/>
        </w:rPr>
        <w:t xml:space="preserve"> are associated with a high social cost of carbon</w:t>
      </w:r>
      <w:r w:rsidR="00310171" w:rsidRPr="0088393A">
        <w:rPr>
          <w:sz w:val="20"/>
          <w:szCs w:val="20"/>
          <w:lang w:val="en-GB"/>
        </w:rPr>
        <w:t xml:space="preserve"> and deadweight.</w:t>
      </w:r>
    </w:p>
    <w:p w14:paraId="117256EE" w14:textId="6A7DB02A" w:rsidR="0088393A" w:rsidRDefault="0088393A" w:rsidP="0088393A">
      <w:pPr>
        <w:pStyle w:val="RoadefTexte"/>
        <w:rPr>
          <w:sz w:val="20"/>
          <w:szCs w:val="20"/>
          <w:lang w:val="en-GB"/>
        </w:rPr>
      </w:pPr>
    </w:p>
    <w:p w14:paraId="0E443323" w14:textId="1DA03203" w:rsidR="0088393A" w:rsidRPr="0088393A" w:rsidRDefault="0088393A" w:rsidP="0088393A">
      <w:pPr>
        <w:pStyle w:val="RoadefTitreNiveau1"/>
        <w:spacing w:before="0" w:after="0"/>
        <w:rPr>
          <w:lang w:val="en-GB"/>
        </w:rPr>
      </w:pPr>
      <w:r w:rsidRPr="0088393A">
        <w:rPr>
          <w:lang w:val="en-GB"/>
        </w:rPr>
        <w:t xml:space="preserve"> Conclusion </w:t>
      </w:r>
    </w:p>
    <w:p w14:paraId="72DC34F0" w14:textId="20A8B9A1" w:rsidR="0088393A" w:rsidRDefault="00CF36C3" w:rsidP="00956879">
      <w:pPr>
        <w:pStyle w:val="RoadefTexte"/>
        <w:ind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Governments have a panel of policies to decarbonize steel that have to be mobilized early while keeping the long term decarbonization goal as a clear target. </w:t>
      </w:r>
      <w:proofErr w:type="spellStart"/>
      <w:r>
        <w:rPr>
          <w:sz w:val="20"/>
          <w:szCs w:val="20"/>
          <w:lang w:val="en-GB"/>
        </w:rPr>
        <w:t>CfD</w:t>
      </w:r>
      <w:proofErr w:type="spellEnd"/>
      <w:r>
        <w:rPr>
          <w:sz w:val="20"/>
          <w:szCs w:val="20"/>
          <w:lang w:val="en-GB"/>
        </w:rPr>
        <w:t xml:space="preserve"> that includes bridge technologies appear as an efficient and cost effective tool in most scenarios seeing the challenges that the steel industry faces in an uncertain environment. </w:t>
      </w:r>
    </w:p>
    <w:p w14:paraId="4170556F" w14:textId="77777777" w:rsidR="0088393A" w:rsidRPr="0088393A" w:rsidRDefault="0088393A" w:rsidP="0088393A">
      <w:pPr>
        <w:pStyle w:val="RoadefTexte"/>
        <w:rPr>
          <w:sz w:val="20"/>
          <w:szCs w:val="20"/>
          <w:lang w:val="en-GB"/>
        </w:rPr>
      </w:pPr>
    </w:p>
    <w:p w14:paraId="030CB07F" w14:textId="587A6E32" w:rsidR="00DC7290" w:rsidRPr="0088393A" w:rsidRDefault="00DC7290" w:rsidP="0088393A">
      <w:pPr>
        <w:pStyle w:val="RoadefTitreNiveau1"/>
        <w:spacing w:before="0" w:after="0"/>
        <w:rPr>
          <w:lang w:val="en-GB"/>
        </w:rPr>
      </w:pPr>
      <w:r w:rsidRPr="0088393A">
        <w:rPr>
          <w:lang w:val="en-GB"/>
        </w:rPr>
        <w:t>References</w:t>
      </w:r>
    </w:p>
    <w:p w14:paraId="61C8AD65" w14:textId="1DA1BDC9" w:rsidR="0088203E" w:rsidRPr="0088393A" w:rsidRDefault="00DC7290" w:rsidP="00956879">
      <w:pPr>
        <w:pStyle w:val="RoadefRef"/>
        <w:spacing w:after="0"/>
        <w:ind w:left="0" w:firstLine="0"/>
        <w:rPr>
          <w:sz w:val="20"/>
          <w:szCs w:val="20"/>
          <w:lang w:val="en-US"/>
        </w:rPr>
      </w:pPr>
      <w:proofErr w:type="spellStart"/>
      <w:r w:rsidRPr="0088393A">
        <w:rPr>
          <w:sz w:val="20"/>
          <w:szCs w:val="20"/>
          <w:lang w:val="en-US"/>
        </w:rPr>
        <w:t>Gamba</w:t>
      </w:r>
      <w:proofErr w:type="spellEnd"/>
      <w:r w:rsidRPr="0088393A">
        <w:rPr>
          <w:sz w:val="20"/>
          <w:szCs w:val="20"/>
          <w:lang w:val="en-US"/>
        </w:rPr>
        <w:t xml:space="preserve">, A. N. </w:t>
      </w:r>
      <w:r w:rsidR="00956879">
        <w:rPr>
          <w:sz w:val="20"/>
          <w:szCs w:val="20"/>
          <w:lang w:val="en-US"/>
        </w:rPr>
        <w:t>(2002) “</w:t>
      </w:r>
      <w:r w:rsidRPr="0088393A">
        <w:rPr>
          <w:sz w:val="20"/>
          <w:szCs w:val="20"/>
          <w:lang w:val="en-US"/>
        </w:rPr>
        <w:t>Real Options Valuation: A Monte Carlo Approach</w:t>
      </w:r>
      <w:r w:rsidR="00956879">
        <w:rPr>
          <w:sz w:val="20"/>
          <w:szCs w:val="20"/>
          <w:lang w:val="en-US"/>
        </w:rPr>
        <w:t xml:space="preserve">”, </w:t>
      </w:r>
      <w:r w:rsidRPr="0088393A">
        <w:rPr>
          <w:sz w:val="20"/>
          <w:szCs w:val="20"/>
          <w:lang w:val="en-US"/>
        </w:rPr>
        <w:t xml:space="preserve"> SSRN Journal. </w:t>
      </w:r>
    </w:p>
    <w:p w14:paraId="1EF0BD94" w14:textId="72D00ACF" w:rsidR="0088203E" w:rsidRPr="0088393A" w:rsidRDefault="00DC7290" w:rsidP="00956879">
      <w:pPr>
        <w:pStyle w:val="RoadefRef"/>
        <w:spacing w:after="0"/>
        <w:ind w:left="0" w:firstLine="0"/>
        <w:rPr>
          <w:sz w:val="20"/>
          <w:szCs w:val="20"/>
          <w:lang w:val="en-US"/>
        </w:rPr>
      </w:pPr>
      <w:proofErr w:type="spellStart"/>
      <w:r w:rsidRPr="00956879">
        <w:rPr>
          <w:sz w:val="20"/>
          <w:szCs w:val="20"/>
          <w:lang w:val="en-GB"/>
        </w:rPr>
        <w:t>Vogl</w:t>
      </w:r>
      <w:proofErr w:type="spellEnd"/>
      <w:r w:rsidRPr="00956879">
        <w:rPr>
          <w:sz w:val="20"/>
          <w:szCs w:val="20"/>
          <w:lang w:val="en-GB"/>
        </w:rPr>
        <w:t xml:space="preserve">, V.; </w:t>
      </w:r>
      <w:proofErr w:type="spellStart"/>
      <w:r w:rsidRPr="00956879">
        <w:rPr>
          <w:sz w:val="20"/>
          <w:szCs w:val="20"/>
          <w:lang w:val="en-GB"/>
        </w:rPr>
        <w:t>Åhman</w:t>
      </w:r>
      <w:proofErr w:type="spellEnd"/>
      <w:r w:rsidRPr="00956879">
        <w:rPr>
          <w:sz w:val="20"/>
          <w:szCs w:val="20"/>
          <w:lang w:val="en-GB"/>
        </w:rPr>
        <w:t>, M.; Nilsson, L. J.</w:t>
      </w:r>
      <w:r w:rsidR="00956879" w:rsidRPr="00956879">
        <w:rPr>
          <w:sz w:val="20"/>
          <w:szCs w:val="20"/>
          <w:lang w:val="en-GB"/>
        </w:rPr>
        <w:t xml:space="preserve"> (2</w:t>
      </w:r>
      <w:r w:rsidR="00956879">
        <w:rPr>
          <w:sz w:val="20"/>
          <w:szCs w:val="20"/>
          <w:lang w:val="en-GB"/>
        </w:rPr>
        <w:t>018) “</w:t>
      </w:r>
      <w:r w:rsidRPr="0088393A">
        <w:rPr>
          <w:sz w:val="20"/>
          <w:szCs w:val="20"/>
          <w:lang w:val="en-US"/>
        </w:rPr>
        <w:t>Assessment of Hydrogen Direct Reduction for Fossil-Free Steelmaking</w:t>
      </w:r>
      <w:r w:rsidR="00956879">
        <w:rPr>
          <w:sz w:val="20"/>
          <w:szCs w:val="20"/>
          <w:lang w:val="en-US"/>
        </w:rPr>
        <w:t>”</w:t>
      </w:r>
      <w:r w:rsidRPr="0088393A">
        <w:rPr>
          <w:sz w:val="20"/>
          <w:szCs w:val="20"/>
          <w:lang w:val="en-US"/>
        </w:rPr>
        <w:t xml:space="preserve">. Journal of Cleaner Production, 203, 736–745. </w:t>
      </w:r>
    </w:p>
    <w:sectPr w:rsidR="0088203E" w:rsidRPr="0088393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5FEF2" w14:textId="77777777" w:rsidR="001D24C1" w:rsidRDefault="001D24C1">
      <w:pPr>
        <w:spacing w:after="0" w:line="240" w:lineRule="auto"/>
      </w:pPr>
      <w:r>
        <w:separator/>
      </w:r>
    </w:p>
  </w:endnote>
  <w:endnote w:type="continuationSeparator" w:id="0">
    <w:p w14:paraId="04C761DA" w14:textId="77777777" w:rsidR="001D24C1" w:rsidRDefault="001D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(W1)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E426D" w14:textId="77777777" w:rsidR="0088203E" w:rsidRDefault="008820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54B93" w14:textId="77777777" w:rsidR="0088203E" w:rsidRDefault="008820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E3661" w14:textId="77777777" w:rsidR="001D24C1" w:rsidRDefault="001D24C1">
      <w:r>
        <w:separator/>
      </w:r>
    </w:p>
  </w:footnote>
  <w:footnote w:type="continuationSeparator" w:id="0">
    <w:p w14:paraId="3DBB5973" w14:textId="77777777" w:rsidR="001D24C1" w:rsidRDefault="001D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B134" w14:textId="77777777" w:rsidR="0088203E" w:rsidRDefault="008820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CFDE6" w14:textId="77777777" w:rsidR="0088203E" w:rsidRDefault="008820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7ADB"/>
    <w:multiLevelType w:val="multilevel"/>
    <w:tmpl w:val="E80CD4C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F240B8"/>
    <w:multiLevelType w:val="multilevel"/>
    <w:tmpl w:val="49A0F124"/>
    <w:lvl w:ilvl="0">
      <w:start w:val="1"/>
      <w:numFmt w:val="decimal"/>
      <w:lvlText w:val="%1"/>
      <w:lvlJc w:val="left"/>
      <w:pPr>
        <w:tabs>
          <w:tab w:val="num" w:pos="454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</w:lvl>
    <w:lvl w:ilvl="4">
      <w:start w:val="1"/>
      <w:numFmt w:val="decimal"/>
      <w:lvlText w:val="%1.%2.%3.%4.%5."/>
      <w:lvlJc w:val="left"/>
      <w:pPr>
        <w:ind w:left="567" w:hanging="567"/>
      </w:pPr>
    </w:lvl>
    <w:lvl w:ilvl="5">
      <w:start w:val="1"/>
      <w:numFmt w:val="decimal"/>
      <w:lvlText w:val="%1.%2.%3.%4.%5.%6."/>
      <w:lvlJc w:val="left"/>
      <w:pPr>
        <w:ind w:left="567" w:hanging="567"/>
      </w:pPr>
    </w:lvl>
    <w:lvl w:ilvl="6">
      <w:start w:val="1"/>
      <w:numFmt w:val="decimal"/>
      <w:lvlText w:val="%1.%2.%3.%4.%5.%6.%7."/>
      <w:lvlJc w:val="left"/>
      <w:pPr>
        <w:ind w:left="567" w:hanging="567"/>
      </w:pPr>
    </w:lvl>
    <w:lvl w:ilvl="7">
      <w:start w:val="1"/>
      <w:numFmt w:val="decimal"/>
      <w:lvlText w:val="%1.%2.%3.%4.%5.%6.%7.%8."/>
      <w:lvlJc w:val="left"/>
      <w:pPr>
        <w:ind w:left="567" w:hanging="567"/>
      </w:pPr>
    </w:lvl>
    <w:lvl w:ilvl="8">
      <w:start w:val="1"/>
      <w:numFmt w:val="decimal"/>
      <w:lvlText w:val="%1.%2.%3.%4.%5.%6.%7.%8.%9."/>
      <w:lvlJc w:val="left"/>
      <w:pPr>
        <w:ind w:left="567" w:hanging="567"/>
      </w:pPr>
    </w:lvl>
  </w:abstractNum>
  <w:abstractNum w:abstractNumId="2" w15:restartNumberingAfterBreak="0">
    <w:nsid w:val="43EA303F"/>
    <w:multiLevelType w:val="multilevel"/>
    <w:tmpl w:val="2F1000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650630"/>
    <w:multiLevelType w:val="hybridMultilevel"/>
    <w:tmpl w:val="34EA5CB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3E"/>
    <w:rsid w:val="000A39FF"/>
    <w:rsid w:val="000B030C"/>
    <w:rsid w:val="0013103D"/>
    <w:rsid w:val="00134593"/>
    <w:rsid w:val="001A3AFE"/>
    <w:rsid w:val="001D24C1"/>
    <w:rsid w:val="0020197E"/>
    <w:rsid w:val="002271D1"/>
    <w:rsid w:val="00231AA4"/>
    <w:rsid w:val="00291573"/>
    <w:rsid w:val="002A68AA"/>
    <w:rsid w:val="002B59FB"/>
    <w:rsid w:val="002E151C"/>
    <w:rsid w:val="00310171"/>
    <w:rsid w:val="00340B3F"/>
    <w:rsid w:val="00350AB3"/>
    <w:rsid w:val="00383291"/>
    <w:rsid w:val="003C37BA"/>
    <w:rsid w:val="003D6A76"/>
    <w:rsid w:val="00523F41"/>
    <w:rsid w:val="00561078"/>
    <w:rsid w:val="005E0C23"/>
    <w:rsid w:val="00657C38"/>
    <w:rsid w:val="00684B0B"/>
    <w:rsid w:val="00695F7D"/>
    <w:rsid w:val="0071140E"/>
    <w:rsid w:val="0076700A"/>
    <w:rsid w:val="008548E8"/>
    <w:rsid w:val="0088203E"/>
    <w:rsid w:val="0088393A"/>
    <w:rsid w:val="008933C1"/>
    <w:rsid w:val="008B315A"/>
    <w:rsid w:val="008E6369"/>
    <w:rsid w:val="00956879"/>
    <w:rsid w:val="00A6407F"/>
    <w:rsid w:val="00AD3324"/>
    <w:rsid w:val="00AD720A"/>
    <w:rsid w:val="00B038EC"/>
    <w:rsid w:val="00B124D0"/>
    <w:rsid w:val="00B51A3E"/>
    <w:rsid w:val="00C07077"/>
    <w:rsid w:val="00CF36C3"/>
    <w:rsid w:val="00D71CF7"/>
    <w:rsid w:val="00DC7290"/>
    <w:rsid w:val="00E76791"/>
    <w:rsid w:val="00EC7D7A"/>
    <w:rsid w:val="00ED40DE"/>
    <w:rsid w:val="00F64786"/>
    <w:rsid w:val="00F8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E7CD4"/>
  <w15:docId w15:val="{1D3FA6EE-B89D-4C57-A34B-0B4B7D2D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CC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enInternet">
    <w:name w:val="Lien Internet"/>
    <w:uiPriority w:val="99"/>
    <w:unhideWhenUsed/>
    <w:rsid w:val="00A11D6F"/>
    <w:rPr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8813B6"/>
    <w:rPr>
      <w:rFonts w:ascii="Times New Roman" w:hAnsi="Times New Roman"/>
      <w:sz w:val="18"/>
      <w:lang w:val="fr-FR" w:eastAsia="en-US" w:bidi="ar-SA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8813B6"/>
    <w:rPr>
      <w:vertAlign w:val="superscript"/>
    </w:rPr>
  </w:style>
  <w:style w:type="character" w:customStyle="1" w:styleId="En-tteCar">
    <w:name w:val="En-tête Car"/>
    <w:uiPriority w:val="99"/>
    <w:qFormat/>
    <w:rsid w:val="000A25E9"/>
    <w:rPr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qFormat/>
    <w:rsid w:val="000A25E9"/>
    <w:rPr>
      <w:sz w:val="22"/>
      <w:szCs w:val="22"/>
      <w:lang w:eastAsia="en-US"/>
    </w:rPr>
  </w:style>
  <w:style w:type="character" w:customStyle="1" w:styleId="RoadefNotedebasdepageCar">
    <w:name w:val="RoadefNotedebasdepage Car"/>
    <w:link w:val="RoadefNotedebasdepage"/>
    <w:qFormat/>
    <w:rsid w:val="00A159C2"/>
    <w:rPr>
      <w:rFonts w:ascii="Times New Roman" w:eastAsia="Calibri" w:hAnsi="Times New Roman"/>
      <w:sz w:val="18"/>
      <w:lang w:val="fr-FR" w:eastAsia="en-US" w:bidi="ar-SA"/>
    </w:rPr>
  </w:style>
  <w:style w:type="character" w:customStyle="1" w:styleId="RoadefNoteDeBasDePageCar0">
    <w:name w:val="RoadefNoteDeBasDePage Car"/>
    <w:basedOn w:val="TestonotaapidipaginaCarattere"/>
    <w:qFormat/>
    <w:rsid w:val="005929C8"/>
    <w:rPr>
      <w:rFonts w:ascii="Times New Roman" w:hAnsi="Times New Roman"/>
      <w:sz w:val="18"/>
      <w:lang w:val="fr-FR" w:eastAsia="en-US" w:bidi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D66E4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Arial"/>
      <w:b w:val="0"/>
      <w:bCs w:val="0"/>
      <w:i w:val="0"/>
      <w:sz w:val="18"/>
      <w:szCs w:val="18"/>
    </w:rPr>
  </w:style>
  <w:style w:type="character" w:customStyle="1" w:styleId="ListLabel5">
    <w:name w:val="ListLabel 5"/>
    <w:qFormat/>
    <w:rPr>
      <w:rFonts w:ascii="Courier New" w:eastAsia="Batang" w:hAnsi="Courier New" w:cs="Courier New"/>
      <w:sz w:val="18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next w:val="Normale"/>
    <w:uiPriority w:val="35"/>
    <w:qFormat/>
    <w:rsid w:val="00DF66EF"/>
    <w:rPr>
      <w:b/>
      <w:bCs/>
      <w:sz w:val="20"/>
      <w:szCs w:val="20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RoadefTitre">
    <w:name w:val="RoadefTitre"/>
    <w:autoRedefine/>
    <w:qFormat/>
    <w:rsid w:val="0088393A"/>
    <w:pPr>
      <w:spacing w:before="1200" w:after="480" w:line="300" w:lineRule="auto"/>
    </w:pPr>
    <w:rPr>
      <w:rFonts w:ascii="Times New Roman" w:hAnsi="Times New Roman"/>
      <w:b/>
      <w:bCs/>
      <w:w w:val="115"/>
      <w:sz w:val="28"/>
      <w:szCs w:val="28"/>
      <w:lang w:val="en-GB" w:eastAsia="en-US"/>
    </w:rPr>
  </w:style>
  <w:style w:type="paragraph" w:customStyle="1" w:styleId="RoadefEmail">
    <w:name w:val="RoadefEmail"/>
    <w:autoRedefine/>
    <w:qFormat/>
    <w:rsid w:val="00357373"/>
    <w:pPr>
      <w:jc w:val="center"/>
    </w:pPr>
    <w:rPr>
      <w:rFonts w:ascii="Courier New" w:eastAsia="Batang" w:hAnsi="Courier New" w:cs="Courier New"/>
      <w:sz w:val="18"/>
      <w:szCs w:val="22"/>
      <w:lang w:eastAsia="en-US"/>
    </w:rPr>
  </w:style>
  <w:style w:type="paragraph" w:customStyle="1" w:styleId="RoadefAuteur">
    <w:name w:val="RoadefAuteur"/>
    <w:qFormat/>
    <w:rsid w:val="00461A93"/>
    <w:pPr>
      <w:jc w:val="center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RoadefMotsCles">
    <w:name w:val="RoadefMotsCles"/>
    <w:autoRedefine/>
    <w:qFormat/>
    <w:rsid w:val="002710A5"/>
    <w:pPr>
      <w:spacing w:after="200"/>
      <w:ind w:left="284" w:right="284"/>
      <w:jc w:val="both"/>
    </w:pPr>
    <w:rPr>
      <w:rFonts w:ascii="Times New Roman" w:hAnsi="Times New Roman"/>
      <w:i/>
      <w:sz w:val="22"/>
      <w:szCs w:val="22"/>
      <w:lang w:eastAsia="en-US"/>
    </w:rPr>
  </w:style>
  <w:style w:type="paragraph" w:customStyle="1" w:styleId="RoadefAdresse">
    <w:name w:val="RoadefAdresse"/>
    <w:autoRedefine/>
    <w:qFormat/>
    <w:rsid w:val="0088393A"/>
    <w:pPr>
      <w:spacing w:before="60"/>
      <w:jc w:val="right"/>
    </w:pPr>
    <w:rPr>
      <w:rFonts w:ascii="Times New Roman" w:hAnsi="Times New Roman"/>
      <w:sz w:val="22"/>
      <w:szCs w:val="22"/>
      <w:lang w:eastAsia="en-US"/>
    </w:rPr>
  </w:style>
  <w:style w:type="paragraph" w:customStyle="1" w:styleId="RoadefTexte">
    <w:name w:val="RoadefTexte"/>
    <w:qFormat/>
    <w:rsid w:val="00DC2CA6"/>
    <w:pPr>
      <w:ind w:firstLine="284"/>
      <w:jc w:val="both"/>
    </w:pPr>
    <w:rPr>
      <w:rFonts w:ascii="Times New (W1)" w:hAnsi="Times New (W1)" w:cs="Times New (W1)"/>
      <w:sz w:val="22"/>
      <w:szCs w:val="21"/>
      <w:lang w:eastAsia="en-US"/>
    </w:rPr>
  </w:style>
  <w:style w:type="paragraph" w:customStyle="1" w:styleId="RoadefTitreNiveau1">
    <w:name w:val="RoadefTitreNiveau1"/>
    <w:next w:val="RoadefTexte"/>
    <w:autoRedefine/>
    <w:qFormat/>
    <w:rsid w:val="0088393A"/>
    <w:pPr>
      <w:spacing w:before="480" w:after="360" w:line="300" w:lineRule="auto"/>
    </w:pPr>
    <w:rPr>
      <w:rFonts w:ascii="Times New Roman" w:hAnsi="Times New Roman"/>
      <w:b/>
      <w:lang w:eastAsia="en-US"/>
    </w:rPr>
  </w:style>
  <w:style w:type="paragraph" w:customStyle="1" w:styleId="RoadefTitreNiveau2">
    <w:name w:val="RoadefTitreNiveau2"/>
    <w:next w:val="RoadefTexte"/>
    <w:qFormat/>
    <w:rsid w:val="0006144E"/>
    <w:pPr>
      <w:spacing w:before="240" w:after="200" w:line="300" w:lineRule="auto"/>
    </w:pPr>
    <w:rPr>
      <w:rFonts w:ascii="Times New Roman" w:hAnsi="Times New Roman"/>
      <w:b/>
      <w:w w:val="110"/>
      <w:sz w:val="22"/>
      <w:szCs w:val="22"/>
      <w:lang w:eastAsia="en-US"/>
    </w:rPr>
  </w:style>
  <w:style w:type="paragraph" w:customStyle="1" w:styleId="RoadefIllustration">
    <w:name w:val="RoadefIllustration"/>
    <w:next w:val="RoadefTexte"/>
    <w:qFormat/>
    <w:rsid w:val="00BF7DFC"/>
    <w:pPr>
      <w:keepNext/>
      <w:jc w:val="center"/>
    </w:pPr>
    <w:rPr>
      <w:rFonts w:ascii="Times New Roman" w:hAnsi="Times New Roman"/>
      <w:sz w:val="22"/>
      <w:szCs w:val="22"/>
      <w:lang w:eastAsia="en-US"/>
    </w:rPr>
  </w:style>
  <w:style w:type="paragraph" w:customStyle="1" w:styleId="RoadefLegende">
    <w:name w:val="RoadefLegende"/>
    <w:next w:val="RoadefTexte"/>
    <w:qFormat/>
    <w:rsid w:val="00C06114"/>
    <w:pPr>
      <w:spacing w:before="120" w:after="200"/>
      <w:jc w:val="center"/>
    </w:pPr>
    <w:rPr>
      <w:rFonts w:ascii="Times New Roman" w:hAnsi="Times New Roman"/>
      <w:sz w:val="22"/>
      <w:szCs w:val="22"/>
      <w:lang w:eastAsia="en-US"/>
    </w:rPr>
  </w:style>
  <w:style w:type="paragraph" w:customStyle="1" w:styleId="RoadefFormule">
    <w:name w:val="RoadefFormule"/>
    <w:next w:val="RoadefTexte"/>
    <w:qFormat/>
    <w:rsid w:val="00577D40"/>
    <w:pPr>
      <w:tabs>
        <w:tab w:val="center" w:pos="4253"/>
        <w:tab w:val="right" w:pos="8222"/>
      </w:tabs>
      <w:spacing w:after="200"/>
    </w:pPr>
    <w:rPr>
      <w:rFonts w:ascii="Times New Roman" w:hAnsi="Times New Roman"/>
      <w:i/>
      <w:sz w:val="22"/>
      <w:szCs w:val="22"/>
      <w:lang w:eastAsia="en-US"/>
    </w:rPr>
  </w:style>
  <w:style w:type="paragraph" w:customStyle="1" w:styleId="RoadefListe">
    <w:name w:val="RoadefListe"/>
    <w:qFormat/>
    <w:rsid w:val="008D6F9D"/>
    <w:pPr>
      <w:ind w:left="568" w:hanging="284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13B6"/>
    <w:rPr>
      <w:rFonts w:ascii="Times New Roman" w:hAnsi="Times New Roman"/>
      <w:sz w:val="18"/>
    </w:rPr>
  </w:style>
  <w:style w:type="paragraph" w:styleId="Intestazione">
    <w:name w:val="header"/>
    <w:basedOn w:val="Normale"/>
    <w:uiPriority w:val="99"/>
    <w:unhideWhenUsed/>
    <w:rsid w:val="000A25E9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A25E9"/>
    <w:pPr>
      <w:tabs>
        <w:tab w:val="center" w:pos="4536"/>
        <w:tab w:val="right" w:pos="9072"/>
      </w:tabs>
    </w:pPr>
  </w:style>
  <w:style w:type="paragraph" w:customStyle="1" w:styleId="RoadefEnv">
    <w:name w:val="RoadefEnv"/>
    <w:next w:val="RoadefTexte"/>
    <w:qFormat/>
    <w:rsid w:val="00BB51F5"/>
    <w:pPr>
      <w:spacing w:after="200"/>
      <w:jc w:val="both"/>
    </w:pPr>
    <w:rPr>
      <w:rFonts w:ascii="Times New Roman" w:hAnsi="Times New Roman"/>
      <w:i/>
      <w:sz w:val="22"/>
      <w:szCs w:val="22"/>
      <w:lang w:eastAsia="en-US"/>
    </w:rPr>
  </w:style>
  <w:style w:type="paragraph" w:customStyle="1" w:styleId="RoadefRef">
    <w:name w:val="RoadefRef"/>
    <w:qFormat/>
    <w:rsid w:val="007B309A"/>
    <w:pPr>
      <w:spacing w:after="120"/>
      <w:ind w:left="568" w:hanging="284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StyleRoadefAuteur">
    <w:name w:val="Style RoadefAuteur"/>
    <w:basedOn w:val="RoadefAuteur"/>
    <w:next w:val="RoadefAdresse"/>
    <w:autoRedefine/>
    <w:qFormat/>
    <w:rsid w:val="00392E75"/>
    <w:rPr>
      <w:rFonts w:eastAsia="Times New Roman"/>
      <w:sz w:val="22"/>
      <w:szCs w:val="20"/>
    </w:rPr>
  </w:style>
  <w:style w:type="paragraph" w:customStyle="1" w:styleId="RoadefTexteTableau">
    <w:name w:val="RoadefTexteTableau"/>
    <w:basedOn w:val="RoadefTexte"/>
    <w:qFormat/>
    <w:rsid w:val="008D6F9D"/>
    <w:pPr>
      <w:ind w:firstLine="0"/>
    </w:pPr>
  </w:style>
  <w:style w:type="paragraph" w:customStyle="1" w:styleId="RoadefNotedebasdepage">
    <w:name w:val="RoadefNotedebasdepage"/>
    <w:basedOn w:val="Testonotaapidipagina"/>
    <w:link w:val="RoadefNotedebasdepageCar"/>
    <w:qFormat/>
    <w:rsid w:val="00A159C2"/>
  </w:style>
  <w:style w:type="paragraph" w:styleId="Testofumetto">
    <w:name w:val="Balloon Text"/>
    <w:basedOn w:val="Normale"/>
    <w:semiHidden/>
    <w:qFormat/>
    <w:rsid w:val="00B03834"/>
    <w:rPr>
      <w:rFonts w:ascii="Tahoma" w:hAnsi="Tahoma"/>
      <w:sz w:val="16"/>
      <w:szCs w:val="16"/>
    </w:rPr>
  </w:style>
  <w:style w:type="paragraph" w:customStyle="1" w:styleId="RoadefNoteDeBasDePage0">
    <w:name w:val="RoadefNoteDeBasDePage"/>
    <w:basedOn w:val="Testonotaapidipagina"/>
    <w:qFormat/>
    <w:rsid w:val="005929C8"/>
  </w:style>
  <w:style w:type="table" w:styleId="Grigliatabella">
    <w:name w:val="Table Grid"/>
    <w:basedOn w:val="Tabellanormale"/>
    <w:rsid w:val="005F472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rsid w:val="002533A3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3C37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37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37B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37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37BA"/>
    <w:rPr>
      <w:b/>
      <w:bCs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8393A"/>
    <w:rPr>
      <w:color w:val="0000FF" w:themeColor="hyperlink"/>
      <w:u w:val="single"/>
    </w:rPr>
  </w:style>
  <w:style w:type="character" w:customStyle="1" w:styleId="lrzxr">
    <w:name w:val="lrzxr"/>
    <w:basedOn w:val="Carpredefinitoparagrafo"/>
    <w:rsid w:val="0088393A"/>
  </w:style>
  <w:style w:type="paragraph" w:styleId="Revisione">
    <w:name w:val="Revision"/>
    <w:hidden/>
    <w:uiPriority w:val="99"/>
    <w:semiHidden/>
    <w:rsid w:val="008839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892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997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lang@edf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823F8-42EC-48A0-9DAA-C9E17ED7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1224</Words>
  <Characters>6979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me@sohaibafifi.com</dc:creator>
  <dc:description/>
  <cp:lastModifiedBy>segreteria</cp:lastModifiedBy>
  <cp:revision>2</cp:revision>
  <cp:lastPrinted>2010-10-07T08:54:00Z</cp:lastPrinted>
  <dcterms:created xsi:type="dcterms:W3CDTF">2023-04-05T09:49:00Z</dcterms:created>
  <dcterms:modified xsi:type="dcterms:W3CDTF">2023-04-05T09:49:00Z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2d26f538-337a-4593-a7e6-123667b1a538_Enabled">
    <vt:lpwstr>true</vt:lpwstr>
  </property>
  <property fmtid="{D5CDD505-2E9C-101B-9397-08002B2CF9AE}" pid="10" name="MSIP_Label_2d26f538-337a-4593-a7e6-123667b1a538_SetDate">
    <vt:lpwstr>2022-11-30T14:05:58Z</vt:lpwstr>
  </property>
  <property fmtid="{D5CDD505-2E9C-101B-9397-08002B2CF9AE}" pid="11" name="MSIP_Label_2d26f538-337a-4593-a7e6-123667b1a538_Method">
    <vt:lpwstr>Standard</vt:lpwstr>
  </property>
  <property fmtid="{D5CDD505-2E9C-101B-9397-08002B2CF9AE}" pid="12" name="MSIP_Label_2d26f538-337a-4593-a7e6-123667b1a538_Name">
    <vt:lpwstr>C1 Interne</vt:lpwstr>
  </property>
  <property fmtid="{D5CDD505-2E9C-101B-9397-08002B2CF9AE}" pid="13" name="MSIP_Label_2d26f538-337a-4593-a7e6-123667b1a538_SiteId">
    <vt:lpwstr>e242425b-70fc-44dc-9ddf-c21e304e6c80</vt:lpwstr>
  </property>
  <property fmtid="{D5CDD505-2E9C-101B-9397-08002B2CF9AE}" pid="14" name="MSIP_Label_2d26f538-337a-4593-a7e6-123667b1a538_ActionId">
    <vt:lpwstr>fca8fd43-cd64-4108-a6ca-14c53caecf1b</vt:lpwstr>
  </property>
  <property fmtid="{D5CDD505-2E9C-101B-9397-08002B2CF9AE}" pid="15" name="MSIP_Label_2d26f538-337a-4593-a7e6-123667b1a538_ContentBits">
    <vt:lpwstr>0</vt:lpwstr>
  </property>
  <property fmtid="{D5CDD505-2E9C-101B-9397-08002B2CF9AE}" pid="16" name="ZOTERO_PREF_1">
    <vt:lpwstr>&lt;data data-version="3" zotero-version="6.0.19-beta.3+89bc09469"&gt;&lt;session id="z0rdZp2j"/&gt;&lt;style id="http://www.zotero.org/styles/apa" locale="fr-FR" hasBibliography="1" bibliographyStyleHasBeenSet="0"/&gt;&lt;prefs&gt;&lt;pref name="fieldType" value="Field"/&gt;&lt;/prefs&gt;&lt;</vt:lpwstr>
  </property>
  <property fmtid="{D5CDD505-2E9C-101B-9397-08002B2CF9AE}" pid="17" name="ZOTERO_PREF_2">
    <vt:lpwstr>/data&gt;</vt:lpwstr>
  </property>
</Properties>
</file>