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F242" w14:textId="77777777" w:rsidR="00836E28" w:rsidRPr="005C19A0" w:rsidRDefault="00836E28">
      <w:pPr>
        <w:rPr>
          <w:rFonts w:ascii="Times New Roman" w:hAnsi="Times New Roman" w:cs="Times New Roman"/>
          <w:sz w:val="28"/>
          <w:szCs w:val="28"/>
        </w:rPr>
      </w:pPr>
    </w:p>
    <w:p w14:paraId="7A4B26C0" w14:textId="301A8E09" w:rsidR="005C19A0" w:rsidRDefault="005C19A0">
      <w:pPr>
        <w:rPr>
          <w:rFonts w:ascii="Times New Roman" w:hAnsi="Times New Roman" w:cs="Times New Roman"/>
          <w:sz w:val="28"/>
          <w:szCs w:val="28"/>
        </w:rPr>
      </w:pPr>
      <w:r>
        <w:rPr>
          <w:rFonts w:ascii="Times New Roman" w:hAnsi="Times New Roman" w:cs="Times New Roman"/>
          <w:sz w:val="28"/>
          <w:szCs w:val="28"/>
        </w:rPr>
        <w:t>Designing Efficient and Equitable Retail Rate for Distributed Energy Resources</w:t>
      </w:r>
    </w:p>
    <w:p w14:paraId="24F048D6" w14:textId="77777777" w:rsidR="005C19A0" w:rsidRDefault="005C19A0" w:rsidP="005C19A0">
      <w:pPr>
        <w:jc w:val="right"/>
        <w:rPr>
          <w:rFonts w:ascii="Times New Roman" w:hAnsi="Times New Roman" w:cs="Times New Roman"/>
          <w:sz w:val="20"/>
          <w:szCs w:val="20"/>
        </w:rPr>
      </w:pPr>
      <w:r w:rsidRPr="005C19A0">
        <w:rPr>
          <w:rFonts w:ascii="Times New Roman" w:hAnsi="Times New Roman" w:cs="Times New Roman"/>
          <w:sz w:val="20"/>
          <w:szCs w:val="20"/>
        </w:rPr>
        <w:t xml:space="preserve">Madalsa </w:t>
      </w:r>
      <w:bookmarkStart w:id="0" w:name="_GoBack"/>
      <w:r w:rsidRPr="005C19A0">
        <w:rPr>
          <w:rFonts w:ascii="Times New Roman" w:hAnsi="Times New Roman" w:cs="Times New Roman"/>
          <w:sz w:val="20"/>
          <w:szCs w:val="20"/>
        </w:rPr>
        <w:t>Singh</w:t>
      </w:r>
      <w:bookmarkEnd w:id="0"/>
      <w:r w:rsidRPr="005C19A0">
        <w:rPr>
          <w:rFonts w:ascii="Times New Roman" w:hAnsi="Times New Roman" w:cs="Times New Roman"/>
          <w:sz w:val="20"/>
          <w:szCs w:val="20"/>
        </w:rPr>
        <w:t>, Department of Energy Science and Engineering, Stanford University, CA 94305</w:t>
      </w:r>
    </w:p>
    <w:p w14:paraId="545BB84A" w14:textId="6347003E" w:rsidR="005C19A0" w:rsidRDefault="005C19A0" w:rsidP="005C19A0">
      <w:pPr>
        <w:jc w:val="right"/>
        <w:rPr>
          <w:rFonts w:ascii="Times New Roman" w:hAnsi="Times New Roman" w:cs="Times New Roman"/>
          <w:sz w:val="20"/>
          <w:szCs w:val="20"/>
        </w:rPr>
      </w:pPr>
      <w:r w:rsidRPr="005C19A0">
        <w:rPr>
          <w:rFonts w:ascii="Times New Roman" w:hAnsi="Times New Roman" w:cs="Times New Roman"/>
          <w:sz w:val="20"/>
          <w:szCs w:val="20"/>
        </w:rPr>
        <w:t xml:space="preserve">+1412-708-6652, </w:t>
      </w:r>
      <w:hyperlink r:id="rId4" w:history="1">
        <w:r w:rsidRPr="004526ED">
          <w:rPr>
            <w:rStyle w:val="Collegamentoipertestuale"/>
            <w:rFonts w:ascii="Times New Roman" w:hAnsi="Times New Roman" w:cs="Times New Roman"/>
            <w:sz w:val="20"/>
            <w:szCs w:val="20"/>
          </w:rPr>
          <w:t>madalsa@stanford.edu</w:t>
        </w:r>
      </w:hyperlink>
    </w:p>
    <w:p w14:paraId="0AFA903F" w14:textId="77777777" w:rsidR="005C19A0" w:rsidRDefault="005C19A0" w:rsidP="005C19A0">
      <w:pPr>
        <w:jc w:val="right"/>
        <w:rPr>
          <w:rFonts w:ascii="Times New Roman" w:hAnsi="Times New Roman" w:cs="Times New Roman"/>
          <w:sz w:val="20"/>
          <w:szCs w:val="20"/>
        </w:rPr>
      </w:pPr>
      <w:r>
        <w:rPr>
          <w:rFonts w:ascii="Times New Roman" w:hAnsi="Times New Roman" w:cs="Times New Roman"/>
          <w:sz w:val="20"/>
          <w:szCs w:val="20"/>
        </w:rPr>
        <w:t>Ines Azevedo</w:t>
      </w:r>
      <w:r w:rsidRPr="005C19A0">
        <w:rPr>
          <w:rFonts w:ascii="Times New Roman" w:hAnsi="Times New Roman" w:cs="Times New Roman"/>
          <w:sz w:val="20"/>
          <w:szCs w:val="20"/>
        </w:rPr>
        <w:t>, Department of Energy Science and Engineering, Stanford University, CA 94305</w:t>
      </w:r>
    </w:p>
    <w:p w14:paraId="687F3584" w14:textId="5762951E" w:rsidR="005C19A0" w:rsidRPr="005C19A0" w:rsidRDefault="00E9122F" w:rsidP="005C19A0">
      <w:pPr>
        <w:jc w:val="right"/>
        <w:rPr>
          <w:rFonts w:ascii="Times New Roman" w:hAnsi="Times New Roman" w:cs="Times New Roman"/>
          <w:sz w:val="20"/>
          <w:szCs w:val="20"/>
        </w:rPr>
      </w:pPr>
      <w:hyperlink r:id="rId5" w:history="1">
        <w:r w:rsidR="005C19A0" w:rsidRPr="004526ED">
          <w:rPr>
            <w:rStyle w:val="Collegamentoipertestuale"/>
            <w:rFonts w:ascii="Times New Roman" w:hAnsi="Times New Roman" w:cs="Times New Roman"/>
            <w:sz w:val="20"/>
            <w:szCs w:val="20"/>
          </w:rPr>
          <w:t>iazevedo@stanford.edu</w:t>
        </w:r>
      </w:hyperlink>
      <w:r w:rsidR="005C19A0">
        <w:rPr>
          <w:rFonts w:ascii="Times New Roman" w:hAnsi="Times New Roman" w:cs="Times New Roman"/>
          <w:sz w:val="20"/>
          <w:szCs w:val="20"/>
        </w:rPr>
        <w:t xml:space="preserve"> </w:t>
      </w:r>
    </w:p>
    <w:p w14:paraId="20097C82" w14:textId="4CF3044A" w:rsidR="005C19A0" w:rsidRDefault="005C19A0" w:rsidP="005C19A0">
      <w:pPr>
        <w:jc w:val="right"/>
        <w:rPr>
          <w:rFonts w:ascii="Times New Roman" w:hAnsi="Times New Roman" w:cs="Times New Roman"/>
          <w:sz w:val="20"/>
          <w:szCs w:val="20"/>
        </w:rPr>
      </w:pPr>
      <w:r>
        <w:rPr>
          <w:rFonts w:ascii="Times New Roman" w:hAnsi="Times New Roman" w:cs="Times New Roman"/>
          <w:sz w:val="20"/>
          <w:szCs w:val="20"/>
        </w:rPr>
        <w:t>Bruce Cain</w:t>
      </w:r>
      <w:r w:rsidRPr="005C19A0">
        <w:rPr>
          <w:rFonts w:ascii="Times New Roman" w:hAnsi="Times New Roman" w:cs="Times New Roman"/>
          <w:sz w:val="20"/>
          <w:szCs w:val="20"/>
        </w:rPr>
        <w:t xml:space="preserve">, Department of </w:t>
      </w:r>
      <w:r>
        <w:rPr>
          <w:rFonts w:ascii="Times New Roman" w:hAnsi="Times New Roman" w:cs="Times New Roman"/>
          <w:sz w:val="20"/>
          <w:szCs w:val="20"/>
        </w:rPr>
        <w:t>Political Science</w:t>
      </w:r>
      <w:r w:rsidRPr="005C19A0">
        <w:rPr>
          <w:rFonts w:ascii="Times New Roman" w:hAnsi="Times New Roman" w:cs="Times New Roman"/>
          <w:sz w:val="20"/>
          <w:szCs w:val="20"/>
        </w:rPr>
        <w:t>, Stanford University, CA 94305</w:t>
      </w:r>
    </w:p>
    <w:p w14:paraId="26FA3995" w14:textId="5158C7F2" w:rsidR="005C19A0" w:rsidRPr="005C19A0" w:rsidRDefault="00E9122F" w:rsidP="005C19A0">
      <w:pPr>
        <w:jc w:val="right"/>
        <w:rPr>
          <w:rFonts w:ascii="Times New Roman" w:hAnsi="Times New Roman" w:cs="Times New Roman"/>
          <w:sz w:val="20"/>
          <w:szCs w:val="20"/>
        </w:rPr>
      </w:pPr>
      <w:hyperlink r:id="rId6" w:history="1">
        <w:r w:rsidR="005C19A0" w:rsidRPr="004526ED">
          <w:rPr>
            <w:rStyle w:val="Collegamentoipertestuale"/>
            <w:rFonts w:ascii="Times New Roman" w:hAnsi="Times New Roman" w:cs="Times New Roman"/>
            <w:sz w:val="20"/>
            <w:szCs w:val="20"/>
          </w:rPr>
          <w:t>bcain@stanford.edu</w:t>
        </w:r>
      </w:hyperlink>
      <w:r w:rsidR="005C19A0">
        <w:rPr>
          <w:rFonts w:ascii="Times New Roman" w:hAnsi="Times New Roman" w:cs="Times New Roman"/>
          <w:sz w:val="20"/>
          <w:szCs w:val="20"/>
        </w:rPr>
        <w:t xml:space="preserve"> </w:t>
      </w:r>
    </w:p>
    <w:p w14:paraId="09634140" w14:textId="77777777" w:rsidR="005C19A0" w:rsidRPr="005C19A0" w:rsidRDefault="005C19A0" w:rsidP="005C19A0">
      <w:pPr>
        <w:jc w:val="right"/>
        <w:rPr>
          <w:rFonts w:ascii="Times New Roman" w:hAnsi="Times New Roman" w:cs="Times New Roman"/>
          <w:sz w:val="20"/>
          <w:szCs w:val="20"/>
        </w:rPr>
      </w:pPr>
    </w:p>
    <w:p w14:paraId="7ED74E48" w14:textId="77777777" w:rsidR="005C19A0" w:rsidRPr="005C19A0" w:rsidRDefault="005C19A0" w:rsidP="005C19A0">
      <w:pPr>
        <w:jc w:val="right"/>
        <w:rPr>
          <w:rFonts w:ascii="Times New Roman" w:hAnsi="Times New Roman" w:cs="Times New Roman"/>
          <w:sz w:val="20"/>
          <w:szCs w:val="20"/>
        </w:rPr>
      </w:pPr>
    </w:p>
    <w:p w14:paraId="2C643309" w14:textId="77777777" w:rsidR="005C19A0" w:rsidRDefault="005C19A0">
      <w:pPr>
        <w:rPr>
          <w:rFonts w:ascii="Times New Roman" w:hAnsi="Times New Roman" w:cs="Times New Roman"/>
          <w:b/>
          <w:bCs/>
          <w:sz w:val="28"/>
          <w:szCs w:val="28"/>
        </w:rPr>
      </w:pPr>
    </w:p>
    <w:p w14:paraId="3243AAFC" w14:textId="52694AB7" w:rsidR="00386825" w:rsidRPr="005C19A0" w:rsidRDefault="00624E5B">
      <w:pPr>
        <w:rPr>
          <w:rFonts w:ascii="Times New Roman" w:hAnsi="Times New Roman" w:cs="Times New Roman"/>
          <w:sz w:val="28"/>
          <w:szCs w:val="28"/>
        </w:rPr>
      </w:pPr>
      <w:r w:rsidRPr="005C19A0">
        <w:rPr>
          <w:rFonts w:ascii="Times New Roman" w:hAnsi="Times New Roman" w:cs="Times New Roman"/>
          <w:b/>
          <w:bCs/>
          <w:sz w:val="28"/>
          <w:szCs w:val="28"/>
        </w:rPr>
        <w:t>Overview</w:t>
      </w:r>
      <w:r w:rsidRPr="005C19A0">
        <w:rPr>
          <w:rFonts w:ascii="Times New Roman" w:hAnsi="Times New Roman" w:cs="Times New Roman"/>
          <w:sz w:val="28"/>
          <w:szCs w:val="28"/>
        </w:rPr>
        <w:t>:</w:t>
      </w:r>
      <w:r w:rsidR="00836E28" w:rsidRPr="005C19A0">
        <w:rPr>
          <w:rFonts w:ascii="Times New Roman" w:hAnsi="Times New Roman" w:cs="Times New Roman"/>
          <w:sz w:val="28"/>
          <w:szCs w:val="28"/>
        </w:rPr>
        <w:t xml:space="preserve"> </w:t>
      </w:r>
      <w:r w:rsidR="00386825" w:rsidRPr="005C19A0">
        <w:rPr>
          <w:rFonts w:ascii="Times New Roman" w:hAnsi="Times New Roman" w:cs="Times New Roman"/>
          <w:sz w:val="28"/>
          <w:szCs w:val="28"/>
        </w:rPr>
        <w:t>Rooftop solar and storage (distributed electricity generation</w:t>
      </w:r>
      <w:r w:rsidR="00DF1AC0" w:rsidRPr="005C19A0">
        <w:rPr>
          <w:rFonts w:ascii="Times New Roman" w:hAnsi="Times New Roman" w:cs="Times New Roman"/>
          <w:sz w:val="28"/>
          <w:szCs w:val="28"/>
        </w:rPr>
        <w:t xml:space="preserve">, </w:t>
      </w:r>
      <w:r w:rsidR="00386825" w:rsidRPr="005C19A0">
        <w:rPr>
          <w:rFonts w:ascii="Times New Roman" w:hAnsi="Times New Roman" w:cs="Times New Roman"/>
          <w:sz w:val="28"/>
          <w:szCs w:val="28"/>
        </w:rPr>
        <w:t>DER) can play an important role in enabling decarbonization and improving reliability. Households can consume</w:t>
      </w:r>
      <w:r w:rsidR="00DF1AC0" w:rsidRPr="005C19A0">
        <w:rPr>
          <w:rFonts w:ascii="Times New Roman" w:hAnsi="Times New Roman" w:cs="Times New Roman"/>
          <w:sz w:val="28"/>
          <w:szCs w:val="28"/>
        </w:rPr>
        <w:t xml:space="preserve">, </w:t>
      </w:r>
      <w:r w:rsidR="007C3F97" w:rsidRPr="005C19A0">
        <w:rPr>
          <w:rFonts w:ascii="Times New Roman" w:hAnsi="Times New Roman" w:cs="Times New Roman"/>
          <w:sz w:val="28"/>
          <w:szCs w:val="28"/>
        </w:rPr>
        <w:t>store,</w:t>
      </w:r>
      <w:r w:rsidR="00386825" w:rsidRPr="005C19A0">
        <w:rPr>
          <w:rFonts w:ascii="Times New Roman" w:hAnsi="Times New Roman" w:cs="Times New Roman"/>
          <w:sz w:val="28"/>
          <w:szCs w:val="28"/>
        </w:rPr>
        <w:t xml:space="preserve"> or send the electricity produced by DER back to the grid. Under net-energy metering policies</w:t>
      </w:r>
      <w:r w:rsidR="002D06EA" w:rsidRPr="005C19A0">
        <w:rPr>
          <w:rFonts w:ascii="Times New Roman" w:hAnsi="Times New Roman" w:cs="Times New Roman"/>
          <w:sz w:val="28"/>
          <w:szCs w:val="28"/>
        </w:rPr>
        <w:t xml:space="preserve">, </w:t>
      </w:r>
      <w:r w:rsidR="00386825" w:rsidRPr="005C19A0">
        <w:rPr>
          <w:rFonts w:ascii="Times New Roman" w:hAnsi="Times New Roman" w:cs="Times New Roman"/>
          <w:sz w:val="28"/>
          <w:szCs w:val="28"/>
        </w:rPr>
        <w:t xml:space="preserve">households with DER are compensated for the surplus electricity produced at the retail electricity rate. </w:t>
      </w:r>
      <w:r w:rsidR="002D06EA" w:rsidRPr="005C19A0">
        <w:rPr>
          <w:rFonts w:ascii="Times New Roman" w:hAnsi="Times New Roman" w:cs="Times New Roman"/>
          <w:sz w:val="28"/>
          <w:szCs w:val="28"/>
        </w:rPr>
        <w:t xml:space="preserve">Retail rates </w:t>
      </w:r>
      <w:r w:rsidR="00386825" w:rsidRPr="005C19A0">
        <w:rPr>
          <w:rFonts w:ascii="Times New Roman" w:hAnsi="Times New Roman" w:cs="Times New Roman"/>
          <w:sz w:val="28"/>
          <w:szCs w:val="28"/>
        </w:rPr>
        <w:t xml:space="preserve">typically charge residential users a volumetric rate that covers the bulk of energy, </w:t>
      </w:r>
      <w:r w:rsidR="00DF1AC0" w:rsidRPr="005C19A0">
        <w:rPr>
          <w:rFonts w:ascii="Times New Roman" w:hAnsi="Times New Roman" w:cs="Times New Roman"/>
          <w:sz w:val="28"/>
          <w:szCs w:val="28"/>
        </w:rPr>
        <w:t>transmission,</w:t>
      </w:r>
      <w:r w:rsidR="00386825" w:rsidRPr="005C19A0">
        <w:rPr>
          <w:rFonts w:ascii="Times New Roman" w:hAnsi="Times New Roman" w:cs="Times New Roman"/>
          <w:sz w:val="28"/>
          <w:szCs w:val="28"/>
        </w:rPr>
        <w:t xml:space="preserve"> and distribution costs. The result price, charged per unit of electricity, neither reflects the marginal costs of producing the electricity nor does it vary by space and time. </w:t>
      </w:r>
      <w:r w:rsidR="00524E4F" w:rsidRPr="005C19A0">
        <w:rPr>
          <w:rFonts w:ascii="Times New Roman" w:hAnsi="Times New Roman" w:cs="Times New Roman"/>
          <w:sz w:val="28"/>
          <w:szCs w:val="28"/>
        </w:rPr>
        <w:t xml:space="preserve">Non time-varying </w:t>
      </w:r>
      <w:r w:rsidR="00386825" w:rsidRPr="005C19A0">
        <w:rPr>
          <w:rFonts w:ascii="Times New Roman" w:hAnsi="Times New Roman" w:cs="Times New Roman"/>
          <w:sz w:val="28"/>
          <w:szCs w:val="28"/>
        </w:rPr>
        <w:t>volumetric electricity rates also don’t accurately reflect the true benefits that DERs provide to the electricity grid</w:t>
      </w:r>
      <w:r w:rsidR="00524E4F" w:rsidRPr="005C19A0">
        <w:rPr>
          <w:rFonts w:ascii="Times New Roman" w:hAnsi="Times New Roman" w:cs="Times New Roman"/>
          <w:sz w:val="28"/>
          <w:szCs w:val="28"/>
        </w:rPr>
        <w:t xml:space="preserve"> and has led to interest among </w:t>
      </w:r>
      <w:r w:rsidR="00394D25" w:rsidRPr="005C19A0">
        <w:rPr>
          <w:rFonts w:ascii="Times New Roman" w:hAnsi="Times New Roman" w:cs="Times New Roman"/>
          <w:sz w:val="28"/>
          <w:szCs w:val="28"/>
        </w:rPr>
        <w:t>policymakers</w:t>
      </w:r>
      <w:r w:rsidR="00524E4F" w:rsidRPr="005C19A0">
        <w:rPr>
          <w:rFonts w:ascii="Times New Roman" w:hAnsi="Times New Roman" w:cs="Times New Roman"/>
          <w:sz w:val="28"/>
          <w:szCs w:val="28"/>
        </w:rPr>
        <w:t xml:space="preserve"> to modernize the electricity rates. </w:t>
      </w:r>
      <w:r w:rsidR="00394D25" w:rsidRPr="005C19A0">
        <w:rPr>
          <w:rFonts w:ascii="Times New Roman" w:hAnsi="Times New Roman" w:cs="Times New Roman"/>
          <w:sz w:val="28"/>
          <w:szCs w:val="28"/>
        </w:rPr>
        <w:t>Significant concerns on cross-subsidies have also been raised. By realizing significant bill savings under net-energy metering, adopters of DERs effectively shift part of their obligation for the grid operation costs to non-adopters. Hence, challenge to modernize the electricity rate entails aligning prices to the true cost of generation of electricity; pricing benefits to the true benefits DERs provide</w:t>
      </w:r>
      <w:r w:rsidR="002944EF" w:rsidRPr="005C19A0">
        <w:rPr>
          <w:rFonts w:ascii="Times New Roman" w:hAnsi="Times New Roman" w:cs="Times New Roman"/>
          <w:sz w:val="28"/>
          <w:szCs w:val="28"/>
        </w:rPr>
        <w:t>;</w:t>
      </w:r>
      <w:r w:rsidR="00394D25" w:rsidRPr="005C19A0">
        <w:rPr>
          <w:rFonts w:ascii="Times New Roman" w:hAnsi="Times New Roman" w:cs="Times New Roman"/>
          <w:sz w:val="28"/>
          <w:szCs w:val="28"/>
        </w:rPr>
        <w:t xml:space="preserve"> and ensuring that non-adopters, often low income and/or renters, don’t bear the burdens of cost-shift. </w:t>
      </w:r>
      <w:r w:rsidR="00386825" w:rsidRPr="005C19A0">
        <w:rPr>
          <w:rFonts w:ascii="Times New Roman" w:hAnsi="Times New Roman" w:cs="Times New Roman"/>
          <w:sz w:val="28"/>
          <w:szCs w:val="28"/>
        </w:rPr>
        <w:t>In this work, we propose</w:t>
      </w:r>
      <w:r w:rsidR="00DF1AC0" w:rsidRPr="005C19A0">
        <w:rPr>
          <w:rFonts w:ascii="Times New Roman" w:hAnsi="Times New Roman" w:cs="Times New Roman"/>
          <w:sz w:val="28"/>
          <w:szCs w:val="28"/>
        </w:rPr>
        <w:t xml:space="preserve"> an electricity pricing and household electricity consumption model that tests different electricity rates to enable efficiency and equity for adopters and non-adopters. California, which has one of the highest electricity rates and penetration of DERs in the United States, is used as a case-study</w:t>
      </w:r>
      <w:r w:rsidR="00D326FF" w:rsidRPr="005C19A0">
        <w:rPr>
          <w:rFonts w:ascii="Times New Roman" w:hAnsi="Times New Roman" w:cs="Times New Roman"/>
          <w:sz w:val="28"/>
          <w:szCs w:val="28"/>
        </w:rPr>
        <w:t xml:space="preserve"> for demonstration.</w:t>
      </w:r>
      <w:r w:rsidR="00DF1AC0" w:rsidRPr="005C19A0">
        <w:rPr>
          <w:rFonts w:ascii="Times New Roman" w:hAnsi="Times New Roman" w:cs="Times New Roman"/>
          <w:sz w:val="28"/>
          <w:szCs w:val="28"/>
        </w:rPr>
        <w:t xml:space="preserve"> </w:t>
      </w:r>
    </w:p>
    <w:p w14:paraId="41D6A5FB" w14:textId="77777777" w:rsidR="00386825" w:rsidRPr="005C19A0" w:rsidRDefault="00386825">
      <w:pPr>
        <w:rPr>
          <w:rFonts w:ascii="Times New Roman" w:hAnsi="Times New Roman" w:cs="Times New Roman"/>
          <w:sz w:val="28"/>
          <w:szCs w:val="28"/>
        </w:rPr>
      </w:pPr>
    </w:p>
    <w:p w14:paraId="24289E58" w14:textId="1B1500AA" w:rsidR="00836E28" w:rsidRPr="005C19A0" w:rsidRDefault="004F3A01">
      <w:pPr>
        <w:rPr>
          <w:rFonts w:ascii="Times New Roman" w:hAnsi="Times New Roman" w:cs="Times New Roman"/>
          <w:sz w:val="28"/>
          <w:szCs w:val="28"/>
        </w:rPr>
      </w:pPr>
      <w:r w:rsidRPr="005C19A0">
        <w:rPr>
          <w:rFonts w:ascii="Times New Roman" w:hAnsi="Times New Roman" w:cs="Times New Roman"/>
          <w:b/>
          <w:bCs/>
          <w:sz w:val="28"/>
          <w:szCs w:val="28"/>
        </w:rPr>
        <w:t>Methods</w:t>
      </w:r>
      <w:r w:rsidRPr="005C19A0">
        <w:rPr>
          <w:rFonts w:ascii="Times New Roman" w:hAnsi="Times New Roman" w:cs="Times New Roman"/>
          <w:sz w:val="28"/>
          <w:szCs w:val="28"/>
        </w:rPr>
        <w:t>:</w:t>
      </w:r>
      <w:r w:rsidR="002944EF" w:rsidRPr="005C19A0">
        <w:rPr>
          <w:rFonts w:ascii="Times New Roman" w:hAnsi="Times New Roman" w:cs="Times New Roman"/>
          <w:sz w:val="28"/>
          <w:szCs w:val="28"/>
        </w:rPr>
        <w:t xml:space="preserve"> There are </w:t>
      </w:r>
      <w:r w:rsidR="00A95BA8" w:rsidRPr="005C19A0">
        <w:rPr>
          <w:rFonts w:ascii="Times New Roman" w:hAnsi="Times New Roman" w:cs="Times New Roman"/>
          <w:sz w:val="28"/>
          <w:szCs w:val="28"/>
        </w:rPr>
        <w:t xml:space="preserve">3 </w:t>
      </w:r>
      <w:r w:rsidR="002944EF" w:rsidRPr="005C19A0">
        <w:rPr>
          <w:rFonts w:ascii="Times New Roman" w:hAnsi="Times New Roman" w:cs="Times New Roman"/>
          <w:sz w:val="28"/>
          <w:szCs w:val="28"/>
        </w:rPr>
        <w:t>main methodological steps in this work. First, we incorporate various features of rate design that have been implemented or are being discussed for future policy reform. This includes flat and dynamic time-of-use rates</w:t>
      </w:r>
      <w:r w:rsidR="005C19A0">
        <w:rPr>
          <w:rFonts w:ascii="Times New Roman" w:hAnsi="Times New Roman" w:cs="Times New Roman"/>
          <w:sz w:val="28"/>
          <w:szCs w:val="28"/>
        </w:rPr>
        <w:t xml:space="preserve">, with and without of component of fixed costs, and varying </w:t>
      </w:r>
      <w:r w:rsidR="00407205">
        <w:rPr>
          <w:rFonts w:ascii="Times New Roman" w:hAnsi="Times New Roman" w:cs="Times New Roman"/>
          <w:sz w:val="28"/>
          <w:szCs w:val="28"/>
        </w:rPr>
        <w:t xml:space="preserve">compensation rates </w:t>
      </w:r>
      <w:r w:rsidR="00846B98" w:rsidRPr="005C19A0">
        <w:rPr>
          <w:rFonts w:ascii="Times New Roman" w:hAnsi="Times New Roman" w:cs="Times New Roman"/>
          <w:sz w:val="28"/>
          <w:szCs w:val="28"/>
        </w:rPr>
        <w:t>(rate at which DER production is compensated</w:t>
      </w:r>
      <w:r w:rsidR="00407205">
        <w:rPr>
          <w:rFonts w:ascii="Times New Roman" w:hAnsi="Times New Roman" w:cs="Times New Roman"/>
          <w:sz w:val="28"/>
          <w:szCs w:val="28"/>
        </w:rPr>
        <w:t>)</w:t>
      </w:r>
      <w:r w:rsidR="00A95BA8" w:rsidRPr="005C19A0">
        <w:rPr>
          <w:rFonts w:ascii="Times New Roman" w:hAnsi="Times New Roman" w:cs="Times New Roman"/>
          <w:sz w:val="28"/>
          <w:szCs w:val="28"/>
        </w:rPr>
        <w:t xml:space="preserve">. Second, we formulate a utility maximization model of adopter household with varying degrees of DER such as solar, storage, and electric vehicles. Third, we evaluate welfare, payback periods of investment, and cost-shift from adopters to non-adopters under various </w:t>
      </w:r>
      <w:r w:rsidR="00A95BA8" w:rsidRPr="005C19A0">
        <w:rPr>
          <w:rFonts w:ascii="Times New Roman" w:hAnsi="Times New Roman" w:cs="Times New Roman"/>
          <w:sz w:val="28"/>
          <w:szCs w:val="28"/>
        </w:rPr>
        <w:lastRenderedPageBreak/>
        <w:t>electricity tariff regimes subject to parametric assumptions about penetration level, income characteristics of adopters, and breakdown of electricity costs between generation and fixed components.</w:t>
      </w:r>
    </w:p>
    <w:p w14:paraId="7F9E24B7" w14:textId="77777777" w:rsidR="004F3A01" w:rsidRPr="005C19A0" w:rsidRDefault="004F3A01">
      <w:pPr>
        <w:rPr>
          <w:rFonts w:ascii="Times New Roman" w:hAnsi="Times New Roman" w:cs="Times New Roman"/>
          <w:sz w:val="28"/>
          <w:szCs w:val="28"/>
        </w:rPr>
      </w:pPr>
    </w:p>
    <w:p w14:paraId="33FFAC70" w14:textId="53D2B582" w:rsidR="00836E28" w:rsidRPr="005C19A0" w:rsidRDefault="00836E28">
      <w:pPr>
        <w:rPr>
          <w:rFonts w:ascii="Times New Roman" w:hAnsi="Times New Roman" w:cs="Times New Roman"/>
          <w:i/>
          <w:sz w:val="28"/>
          <w:szCs w:val="28"/>
        </w:rPr>
      </w:pPr>
      <w:r w:rsidRPr="005C19A0">
        <w:rPr>
          <w:rFonts w:ascii="Times New Roman" w:hAnsi="Times New Roman" w:cs="Times New Roman"/>
          <w:b/>
          <w:bCs/>
          <w:sz w:val="28"/>
          <w:szCs w:val="28"/>
        </w:rPr>
        <w:t>Results</w:t>
      </w:r>
      <w:r w:rsidR="007C3F97" w:rsidRPr="005C19A0">
        <w:rPr>
          <w:rFonts w:ascii="Times New Roman" w:hAnsi="Times New Roman" w:cs="Times New Roman"/>
          <w:sz w:val="28"/>
          <w:szCs w:val="28"/>
        </w:rPr>
        <w:t xml:space="preserve">: This is work-in-progress. The toy model </w:t>
      </w:r>
      <w:r w:rsidR="00407205">
        <w:rPr>
          <w:rFonts w:ascii="Times New Roman" w:hAnsi="Times New Roman" w:cs="Times New Roman"/>
          <w:sz w:val="28"/>
          <w:szCs w:val="28"/>
        </w:rPr>
        <w:t xml:space="preserve">shows that </w:t>
      </w:r>
      <w:r w:rsidR="00397EB6" w:rsidRPr="005C19A0">
        <w:rPr>
          <w:rFonts w:ascii="Times New Roman" w:hAnsi="Times New Roman" w:cs="Times New Roman"/>
          <w:sz w:val="28"/>
          <w:szCs w:val="28"/>
        </w:rPr>
        <w:t xml:space="preserve">time-varying retail rates (peak off-peak ratio of 1.6) with compensation at marginal electricity costs </w:t>
      </w:r>
      <w:r w:rsidR="00407205">
        <w:rPr>
          <w:rFonts w:ascii="Times New Roman" w:hAnsi="Times New Roman" w:cs="Times New Roman"/>
          <w:sz w:val="28"/>
          <w:szCs w:val="28"/>
        </w:rPr>
        <w:t>without fixed costs has least</w:t>
      </w:r>
      <w:r w:rsidR="00397EB6" w:rsidRPr="005C19A0">
        <w:rPr>
          <w:rFonts w:ascii="Times New Roman" w:hAnsi="Times New Roman" w:cs="Times New Roman"/>
          <w:sz w:val="28"/>
          <w:szCs w:val="28"/>
        </w:rPr>
        <w:t xml:space="preserve"> cost-shift to non-</w:t>
      </w:r>
      <w:r w:rsidR="00783131" w:rsidRPr="005C19A0">
        <w:rPr>
          <w:rFonts w:ascii="Times New Roman" w:hAnsi="Times New Roman" w:cs="Times New Roman"/>
          <w:sz w:val="28"/>
          <w:szCs w:val="28"/>
        </w:rPr>
        <w:t>adopters but</w:t>
      </w:r>
      <w:r w:rsidR="00397EB6" w:rsidRPr="005C19A0">
        <w:rPr>
          <w:rFonts w:ascii="Times New Roman" w:hAnsi="Times New Roman" w:cs="Times New Roman"/>
          <w:sz w:val="28"/>
          <w:szCs w:val="28"/>
        </w:rPr>
        <w:t xml:space="preserve"> </w:t>
      </w:r>
      <w:r w:rsidR="00407205">
        <w:rPr>
          <w:rFonts w:ascii="Times New Roman" w:hAnsi="Times New Roman" w:cs="Times New Roman"/>
          <w:sz w:val="28"/>
          <w:szCs w:val="28"/>
        </w:rPr>
        <w:t>highest</w:t>
      </w:r>
      <w:r w:rsidR="00397EB6" w:rsidRPr="005C19A0">
        <w:rPr>
          <w:rFonts w:ascii="Times New Roman" w:hAnsi="Times New Roman" w:cs="Times New Roman"/>
          <w:sz w:val="28"/>
          <w:szCs w:val="28"/>
        </w:rPr>
        <w:t xml:space="preserve"> the pay-back period for adopters compared to the one-part volumetric retail rates</w:t>
      </w:r>
      <w:r w:rsidR="00407205">
        <w:rPr>
          <w:rFonts w:ascii="Times New Roman" w:hAnsi="Times New Roman" w:cs="Times New Roman"/>
          <w:sz w:val="28"/>
          <w:szCs w:val="28"/>
        </w:rPr>
        <w:t>. Presence of a fixed cost component further reduces cost shift. Time-of-use rates with high peak-off peak incentivize self-consumption and storage while higher compensation rate incentivizes selling it back to the grid.</w:t>
      </w:r>
    </w:p>
    <w:p w14:paraId="594E36A5" w14:textId="28933E38" w:rsidR="00633AD9" w:rsidRPr="005C19A0" w:rsidRDefault="00633AD9">
      <w:pPr>
        <w:rPr>
          <w:rFonts w:ascii="Times New Roman" w:hAnsi="Times New Roman" w:cs="Times New Roman"/>
          <w:sz w:val="28"/>
          <w:szCs w:val="28"/>
        </w:rPr>
      </w:pPr>
    </w:p>
    <w:p w14:paraId="33C6C1DC" w14:textId="77777777" w:rsidR="00633AD9" w:rsidRPr="005C19A0" w:rsidRDefault="00633AD9">
      <w:pPr>
        <w:rPr>
          <w:rFonts w:ascii="Times New Roman" w:hAnsi="Times New Roman" w:cs="Times New Roman"/>
          <w:sz w:val="28"/>
          <w:szCs w:val="28"/>
        </w:rPr>
      </w:pPr>
    </w:p>
    <w:p w14:paraId="66495AA5" w14:textId="67D7FF58" w:rsidR="00633AD9" w:rsidRPr="005C19A0" w:rsidRDefault="005C19A0" w:rsidP="00633AD9">
      <w:pPr>
        <w:rPr>
          <w:rFonts w:ascii="Times New Roman" w:hAnsi="Times New Roman" w:cs="Times New Roman"/>
          <w:sz w:val="28"/>
          <w:szCs w:val="28"/>
        </w:rPr>
      </w:pPr>
      <w:r w:rsidRPr="005C19A0">
        <w:rPr>
          <w:rFonts w:ascii="Times New Roman" w:hAnsi="Times New Roman" w:cs="Times New Roman"/>
          <w:b/>
          <w:bCs/>
          <w:sz w:val="28"/>
          <w:szCs w:val="28"/>
        </w:rPr>
        <w:t>Conclusions</w:t>
      </w:r>
      <w:r w:rsidRPr="005C19A0">
        <w:rPr>
          <w:rFonts w:ascii="Times New Roman" w:hAnsi="Times New Roman" w:cs="Times New Roman"/>
          <w:sz w:val="28"/>
          <w:szCs w:val="28"/>
        </w:rPr>
        <w:t>:</w:t>
      </w:r>
      <w:r w:rsidR="00F56052" w:rsidRPr="005C19A0">
        <w:rPr>
          <w:rFonts w:ascii="Times New Roman" w:hAnsi="Times New Roman" w:cs="Times New Roman"/>
          <w:sz w:val="28"/>
          <w:szCs w:val="28"/>
        </w:rPr>
        <w:t xml:space="preserve"> Modernizing electricity rates is imperative to integrate DER at scale to decarbonize the electricity system reliably, efficiently, and equitably. This work presents a model across various agents to </w:t>
      </w:r>
      <w:r w:rsidR="005827F2" w:rsidRPr="005C19A0">
        <w:rPr>
          <w:rFonts w:ascii="Times New Roman" w:hAnsi="Times New Roman" w:cs="Times New Roman"/>
          <w:sz w:val="28"/>
          <w:szCs w:val="28"/>
        </w:rPr>
        <w:t xml:space="preserve">analyze various electricity </w:t>
      </w:r>
      <w:r w:rsidR="00783131" w:rsidRPr="005C19A0">
        <w:rPr>
          <w:rFonts w:ascii="Times New Roman" w:hAnsi="Times New Roman" w:cs="Times New Roman"/>
          <w:sz w:val="28"/>
          <w:szCs w:val="28"/>
        </w:rPr>
        <w:t>retail</w:t>
      </w:r>
      <w:r w:rsidR="005827F2" w:rsidRPr="005C19A0">
        <w:rPr>
          <w:rFonts w:ascii="Times New Roman" w:hAnsi="Times New Roman" w:cs="Times New Roman"/>
          <w:sz w:val="28"/>
          <w:szCs w:val="28"/>
        </w:rPr>
        <w:t xml:space="preserve"> rate choices and how they impact social welfare, payback period (for adopters), and cost-shift (non-adopters).  </w:t>
      </w:r>
    </w:p>
    <w:p w14:paraId="5D8EA1C7" w14:textId="6840BD7A" w:rsidR="00836E28" w:rsidRPr="005C19A0" w:rsidRDefault="00836E28">
      <w:pPr>
        <w:rPr>
          <w:rFonts w:ascii="Times New Roman" w:hAnsi="Times New Roman" w:cs="Times New Roman"/>
          <w:sz w:val="28"/>
          <w:szCs w:val="28"/>
        </w:rPr>
      </w:pPr>
    </w:p>
    <w:sectPr w:rsidR="00836E28" w:rsidRPr="005C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28"/>
    <w:rsid w:val="001353AE"/>
    <w:rsid w:val="00146456"/>
    <w:rsid w:val="002944EF"/>
    <w:rsid w:val="002B6290"/>
    <w:rsid w:val="002D06EA"/>
    <w:rsid w:val="00386825"/>
    <w:rsid w:val="00394D25"/>
    <w:rsid w:val="00397EB6"/>
    <w:rsid w:val="003D50A1"/>
    <w:rsid w:val="003F64E4"/>
    <w:rsid w:val="00407205"/>
    <w:rsid w:val="00421AF2"/>
    <w:rsid w:val="004F3A01"/>
    <w:rsid w:val="00524E4F"/>
    <w:rsid w:val="00563363"/>
    <w:rsid w:val="005827F2"/>
    <w:rsid w:val="005C19A0"/>
    <w:rsid w:val="00624E5B"/>
    <w:rsid w:val="00633AD9"/>
    <w:rsid w:val="00653F62"/>
    <w:rsid w:val="007661C4"/>
    <w:rsid w:val="00777D3A"/>
    <w:rsid w:val="00783131"/>
    <w:rsid w:val="007C3F97"/>
    <w:rsid w:val="007D43BA"/>
    <w:rsid w:val="00836E28"/>
    <w:rsid w:val="00846B98"/>
    <w:rsid w:val="008E3922"/>
    <w:rsid w:val="00941E09"/>
    <w:rsid w:val="009A0EA2"/>
    <w:rsid w:val="00A7595A"/>
    <w:rsid w:val="00A95BA8"/>
    <w:rsid w:val="00B7497E"/>
    <w:rsid w:val="00D326FF"/>
    <w:rsid w:val="00DF1AC0"/>
    <w:rsid w:val="00E9122F"/>
    <w:rsid w:val="00F5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CB32"/>
  <w15:chartTrackingRefBased/>
  <w15:docId w15:val="{DE3B0A54-3B21-A846-9ACE-F69B5556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C19A0"/>
    <w:rPr>
      <w:color w:val="0563C1" w:themeColor="hyperlink"/>
      <w:u w:val="single"/>
    </w:rPr>
  </w:style>
  <w:style w:type="character" w:customStyle="1" w:styleId="UnresolvedMention">
    <w:name w:val="Unresolved Mention"/>
    <w:basedOn w:val="Carpredefinitoparagrafo"/>
    <w:uiPriority w:val="99"/>
    <w:semiHidden/>
    <w:unhideWhenUsed/>
    <w:rsid w:val="005C1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ain@stanford.edu" TargetMode="External"/><Relationship Id="rId5" Type="http://schemas.openxmlformats.org/officeDocument/2006/relationships/hyperlink" Target="mailto:iazevedo@stanford.edu" TargetMode="External"/><Relationship Id="rId4" Type="http://schemas.openxmlformats.org/officeDocument/2006/relationships/hyperlink" Target="mailto:madalsa@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Madalsa Singh</dc:creator>
  <cp:keywords/>
  <dc:description/>
  <cp:lastModifiedBy>segreteria</cp:lastModifiedBy>
  <cp:revision>2</cp:revision>
  <dcterms:created xsi:type="dcterms:W3CDTF">2023-04-04T13:47:00Z</dcterms:created>
  <dcterms:modified xsi:type="dcterms:W3CDTF">2023-04-04T13:47:00Z</dcterms:modified>
</cp:coreProperties>
</file>