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1F53" w14:textId="0680A730" w:rsidR="00485A81" w:rsidRPr="00616B06" w:rsidRDefault="007839F9" w:rsidP="00616B06">
      <w:pPr>
        <w:spacing w:after="0" w:line="259" w:lineRule="auto"/>
        <w:ind w:left="293" w:right="0" w:firstLine="0"/>
        <w:jc w:val="center"/>
        <w:rPr>
          <w:i/>
          <w:sz w:val="28"/>
          <w:szCs w:val="28"/>
        </w:rPr>
      </w:pPr>
      <w:r w:rsidRPr="00616B06">
        <w:rPr>
          <w:b/>
          <w:i/>
          <w:sz w:val="28"/>
          <w:szCs w:val="28"/>
        </w:rPr>
        <w:t>EXPLORING THE IMPACT OF ELECTRIC</w:t>
      </w:r>
      <w:r w:rsidR="001167E4" w:rsidRPr="00616B06">
        <w:rPr>
          <w:b/>
          <w:i/>
          <w:sz w:val="28"/>
          <w:szCs w:val="28"/>
        </w:rPr>
        <w:t xml:space="preserve"> RETAIL RATES AND NETWORK TARIFFS </w:t>
      </w:r>
      <w:r w:rsidRPr="00616B06">
        <w:rPr>
          <w:b/>
          <w:i/>
          <w:sz w:val="28"/>
          <w:szCs w:val="28"/>
        </w:rPr>
        <w:t xml:space="preserve">ON </w:t>
      </w:r>
      <w:r w:rsidR="00563A55">
        <w:rPr>
          <w:b/>
          <w:i/>
          <w:sz w:val="28"/>
          <w:szCs w:val="28"/>
        </w:rPr>
        <w:t>DECARBONISING</w:t>
      </w:r>
      <w:r w:rsidR="000064A0" w:rsidRPr="00616B06">
        <w:rPr>
          <w:b/>
          <w:i/>
          <w:sz w:val="28"/>
          <w:szCs w:val="28"/>
        </w:rPr>
        <w:t xml:space="preserve"> RESIDENTIAL ENERGY DEMAND</w:t>
      </w:r>
    </w:p>
    <w:p w14:paraId="019ABEF4" w14:textId="77777777" w:rsidR="00616B06" w:rsidRPr="00913F6D" w:rsidRDefault="00616B06" w:rsidP="00616B06">
      <w:pPr>
        <w:spacing w:after="0" w:line="259" w:lineRule="auto"/>
        <w:ind w:left="0" w:right="585" w:firstLine="293"/>
        <w:rPr>
          <w:b/>
          <w:i/>
          <w:sz w:val="20"/>
        </w:rPr>
      </w:pPr>
    </w:p>
    <w:p w14:paraId="7D9781C0" w14:textId="3D4270F5" w:rsidR="00485A81" w:rsidRPr="00616B06" w:rsidRDefault="00616B06" w:rsidP="008159C1">
      <w:pPr>
        <w:spacing w:after="120" w:line="259" w:lineRule="auto"/>
        <w:ind w:left="0" w:right="584" w:firstLine="295"/>
      </w:pPr>
      <w:r w:rsidRPr="00B303A0">
        <w:rPr>
          <w:b/>
          <w:sz w:val="20"/>
        </w:rPr>
        <w:t xml:space="preserve">Roman </w:t>
      </w:r>
      <w:bookmarkStart w:id="0" w:name="_GoBack"/>
      <w:proofErr w:type="spellStart"/>
      <w:r w:rsidRPr="00B303A0">
        <w:rPr>
          <w:b/>
          <w:sz w:val="20"/>
        </w:rPr>
        <w:t>Henni</w:t>
      </w:r>
      <w:r w:rsidR="00563A55">
        <w:rPr>
          <w:b/>
          <w:sz w:val="20"/>
        </w:rPr>
        <w:t>g</w:t>
      </w:r>
      <w:bookmarkEnd w:id="0"/>
      <w:r w:rsidR="00786B00">
        <w:rPr>
          <w:b/>
          <w:sz w:val="20"/>
          <w:vertAlign w:val="superscript"/>
        </w:rPr>
        <w:t>a</w:t>
      </w:r>
      <w:proofErr w:type="spellEnd"/>
      <w:r w:rsidR="00563A55">
        <w:rPr>
          <w:b/>
          <w:sz w:val="20"/>
        </w:rPr>
        <w:t xml:space="preserve">, Francesco </w:t>
      </w:r>
      <w:proofErr w:type="spellStart"/>
      <w:r w:rsidR="00563A55">
        <w:rPr>
          <w:b/>
          <w:sz w:val="20"/>
        </w:rPr>
        <w:t>Sanvito</w:t>
      </w:r>
      <w:r w:rsidR="00786B00">
        <w:rPr>
          <w:b/>
          <w:sz w:val="20"/>
          <w:vertAlign w:val="superscript"/>
        </w:rPr>
        <w:t>a</w:t>
      </w:r>
      <w:proofErr w:type="spellEnd"/>
      <w:r w:rsidR="00563A55">
        <w:rPr>
          <w:b/>
          <w:sz w:val="20"/>
        </w:rPr>
        <w:t xml:space="preserve">, David </w:t>
      </w:r>
      <w:proofErr w:type="spellStart"/>
      <w:r w:rsidR="00563A55">
        <w:rPr>
          <w:b/>
          <w:sz w:val="20"/>
        </w:rPr>
        <w:t>Ribó</w:t>
      </w:r>
      <w:proofErr w:type="spellEnd"/>
      <w:r w:rsidRPr="00B303A0">
        <w:rPr>
          <w:b/>
          <w:sz w:val="20"/>
        </w:rPr>
        <w:t xml:space="preserve"> </w:t>
      </w:r>
      <w:proofErr w:type="spellStart"/>
      <w:r w:rsidRPr="00B303A0">
        <w:rPr>
          <w:b/>
          <w:sz w:val="20"/>
        </w:rPr>
        <w:t>P</w:t>
      </w:r>
      <w:r w:rsidR="00563A55">
        <w:rPr>
          <w:b/>
          <w:sz w:val="20"/>
        </w:rPr>
        <w:t>é</w:t>
      </w:r>
      <w:r w:rsidRPr="00B303A0">
        <w:rPr>
          <w:b/>
          <w:sz w:val="20"/>
        </w:rPr>
        <w:t>rez</w:t>
      </w:r>
      <w:r w:rsidR="00786B00">
        <w:rPr>
          <w:b/>
          <w:sz w:val="20"/>
          <w:vertAlign w:val="superscript"/>
        </w:rPr>
        <w:t>a</w:t>
      </w:r>
      <w:proofErr w:type="spellEnd"/>
      <w:r w:rsidRPr="00B303A0">
        <w:rPr>
          <w:b/>
          <w:sz w:val="20"/>
        </w:rPr>
        <w:softHyphen/>
        <w:t xml:space="preserve">, Laurens de </w:t>
      </w:r>
      <w:proofErr w:type="spellStart"/>
      <w:r w:rsidRPr="00B303A0">
        <w:rPr>
          <w:b/>
          <w:sz w:val="20"/>
        </w:rPr>
        <w:t>Vries</w:t>
      </w:r>
      <w:r w:rsidR="00786B00">
        <w:rPr>
          <w:b/>
          <w:sz w:val="20"/>
          <w:vertAlign w:val="superscript"/>
        </w:rPr>
        <w:t>a</w:t>
      </w:r>
      <w:proofErr w:type="spellEnd"/>
      <w:r w:rsidRPr="00B303A0">
        <w:rPr>
          <w:b/>
          <w:sz w:val="20"/>
        </w:rPr>
        <w:t xml:space="preserve">, Stefan </w:t>
      </w:r>
      <w:proofErr w:type="spellStart"/>
      <w:r w:rsidRPr="00B303A0">
        <w:rPr>
          <w:b/>
          <w:sz w:val="20"/>
        </w:rPr>
        <w:t>Pfenninger</w:t>
      </w:r>
      <w:r w:rsidR="00786B00">
        <w:rPr>
          <w:b/>
          <w:sz w:val="20"/>
          <w:vertAlign w:val="superscript"/>
        </w:rPr>
        <w:t>a</w:t>
      </w:r>
      <w:proofErr w:type="spellEnd"/>
      <w:r w:rsidRPr="00B303A0">
        <w:rPr>
          <w:b/>
          <w:sz w:val="20"/>
        </w:rPr>
        <w:t xml:space="preserve">, Simon </w:t>
      </w:r>
      <w:proofErr w:type="spellStart"/>
      <w:r w:rsidRPr="00B303A0">
        <w:rPr>
          <w:b/>
          <w:sz w:val="20"/>
        </w:rPr>
        <w:t>Tindemans</w:t>
      </w:r>
      <w:r w:rsidR="00786B00">
        <w:rPr>
          <w:b/>
          <w:vertAlign w:val="superscript"/>
        </w:rPr>
        <w:t>b</w:t>
      </w:r>
      <w:proofErr w:type="spellEnd"/>
    </w:p>
    <w:p w14:paraId="38599158" w14:textId="414F7E10" w:rsidR="00A5634F" w:rsidRDefault="00786B00">
      <w:pPr>
        <w:spacing w:after="2" w:line="252" w:lineRule="auto"/>
        <w:ind w:left="3163" w:right="905" w:hanging="322"/>
        <w:jc w:val="right"/>
        <w:rPr>
          <w:sz w:val="16"/>
        </w:rPr>
      </w:pPr>
      <w:r>
        <w:rPr>
          <w:sz w:val="16"/>
        </w:rPr>
        <w:t xml:space="preserve"> </w:t>
      </w:r>
      <w:r>
        <w:rPr>
          <w:sz w:val="16"/>
          <w:vertAlign w:val="superscript"/>
        </w:rPr>
        <w:t>a</w:t>
      </w:r>
      <w:r w:rsidR="004C7C58">
        <w:rPr>
          <w:sz w:val="16"/>
        </w:rPr>
        <w:t xml:space="preserve">: </w:t>
      </w:r>
      <w:r w:rsidR="00A5634F" w:rsidRPr="00A5634F">
        <w:rPr>
          <w:sz w:val="16"/>
        </w:rPr>
        <w:t>Delft University of Technology, Faculty of Technology, Policy, and Management</w:t>
      </w:r>
      <w:r w:rsidR="00A5634F">
        <w:rPr>
          <w:sz w:val="16"/>
        </w:rPr>
        <w:t xml:space="preserve">, </w:t>
      </w:r>
      <w:r w:rsidR="00A5634F" w:rsidRPr="00A5634F">
        <w:rPr>
          <w:sz w:val="16"/>
        </w:rPr>
        <w:t>2600 GA</w:t>
      </w:r>
      <w:r w:rsidR="00A5634F">
        <w:rPr>
          <w:sz w:val="16"/>
        </w:rPr>
        <w:t>,</w:t>
      </w:r>
      <w:r>
        <w:rPr>
          <w:sz w:val="16"/>
        </w:rPr>
        <w:t xml:space="preserve"> Delft,</w:t>
      </w:r>
      <w:r w:rsidR="00A5634F">
        <w:rPr>
          <w:sz w:val="16"/>
        </w:rPr>
        <w:t xml:space="preserve"> The Netherlands </w:t>
      </w:r>
    </w:p>
    <w:p w14:paraId="3E5C9C5C" w14:textId="2AB6C926" w:rsidR="00786B00" w:rsidRDefault="00786B00" w:rsidP="00786B00">
      <w:pPr>
        <w:spacing w:after="2" w:line="252" w:lineRule="auto"/>
        <w:ind w:left="3163" w:right="905" w:hanging="322"/>
        <w:jc w:val="right"/>
        <w:rPr>
          <w:sz w:val="16"/>
        </w:rPr>
      </w:pPr>
      <w:r>
        <w:rPr>
          <w:sz w:val="16"/>
          <w:vertAlign w:val="superscript"/>
        </w:rPr>
        <w:t>b</w:t>
      </w:r>
      <w:r>
        <w:rPr>
          <w:sz w:val="16"/>
        </w:rPr>
        <w:t xml:space="preserve">: </w:t>
      </w:r>
      <w:r w:rsidRPr="00A5634F">
        <w:rPr>
          <w:sz w:val="16"/>
        </w:rPr>
        <w:t>Delft University of Technology</w:t>
      </w:r>
      <w:r>
        <w:rPr>
          <w:sz w:val="16"/>
        </w:rPr>
        <w:t>,</w:t>
      </w:r>
      <w:r w:rsidRPr="00786B00">
        <w:rPr>
          <w:sz w:val="16"/>
        </w:rPr>
        <w:t xml:space="preserve"> Dept. of Electrical Sustainable Energy, Delft, 2628 CD, Delft</w:t>
      </w:r>
      <w:r>
        <w:rPr>
          <w:sz w:val="16"/>
        </w:rPr>
        <w:t xml:space="preserve">, The Netherlands </w:t>
      </w:r>
    </w:p>
    <w:p w14:paraId="01E7557C" w14:textId="77777777" w:rsidR="00786B00" w:rsidRDefault="00786B00" w:rsidP="00786B00">
      <w:pPr>
        <w:spacing w:after="2" w:line="252" w:lineRule="auto"/>
        <w:ind w:left="3163" w:right="905" w:hanging="322"/>
        <w:jc w:val="right"/>
        <w:rPr>
          <w:sz w:val="16"/>
        </w:rPr>
      </w:pPr>
    </w:p>
    <w:p w14:paraId="718091C1" w14:textId="77777777" w:rsidR="00786B00" w:rsidRDefault="00786B00">
      <w:pPr>
        <w:spacing w:after="2" w:line="252" w:lineRule="auto"/>
        <w:ind w:left="3163" w:right="905" w:hanging="322"/>
        <w:jc w:val="right"/>
        <w:rPr>
          <w:sz w:val="16"/>
        </w:rPr>
      </w:pPr>
    </w:p>
    <w:p w14:paraId="5F29BAB4" w14:textId="1F679E4F" w:rsidR="00485A81" w:rsidRDefault="00A5634F" w:rsidP="00A5634F">
      <w:pPr>
        <w:spacing w:after="2" w:line="252" w:lineRule="auto"/>
        <w:ind w:left="3163" w:right="905" w:hanging="322"/>
        <w:jc w:val="right"/>
      </w:pPr>
      <w:r>
        <w:rPr>
          <w:sz w:val="16"/>
        </w:rPr>
        <w:t xml:space="preserve">e-mail: </w:t>
      </w:r>
      <w:hyperlink r:id="rId8" w:history="1">
        <w:r w:rsidRPr="00740E4B">
          <w:rPr>
            <w:rStyle w:val="Collegamentoipertestuale"/>
            <w:sz w:val="16"/>
          </w:rPr>
          <w:t>r.j.hennig@tudelft.nl</w:t>
        </w:r>
      </w:hyperlink>
      <w:r>
        <w:rPr>
          <w:sz w:val="16"/>
        </w:rPr>
        <w:t xml:space="preserve"> </w:t>
      </w:r>
    </w:p>
    <w:p w14:paraId="2F4A6AB8" w14:textId="6D2727B2" w:rsidR="00485A81" w:rsidRDefault="004C7C58" w:rsidP="008D1349">
      <w:pPr>
        <w:spacing w:after="11" w:line="259" w:lineRule="auto"/>
        <w:ind w:left="0" w:right="880" w:firstLine="0"/>
        <w:jc w:val="right"/>
      </w:pPr>
      <w:r>
        <w:rPr>
          <w:sz w:val="16"/>
        </w:rPr>
        <w:t xml:space="preserve"> </w:t>
      </w:r>
    </w:p>
    <w:p w14:paraId="1BFB95E2" w14:textId="2D3327F1" w:rsidR="00A5634F" w:rsidRPr="00B303A0" w:rsidRDefault="008D1349" w:rsidP="00B303A0">
      <w:pPr>
        <w:pStyle w:val="Titolo3"/>
        <w:spacing w:after="120"/>
        <w:ind w:left="289" w:hanging="11"/>
        <w:rPr>
          <w:sz w:val="22"/>
        </w:rPr>
      </w:pPr>
      <w:r>
        <w:rPr>
          <w:sz w:val="22"/>
        </w:rPr>
        <w:t>Overview</w:t>
      </w:r>
    </w:p>
    <w:p w14:paraId="1DB1CDC7" w14:textId="0CEAB925" w:rsidR="000064A0" w:rsidRPr="00072AC5" w:rsidRDefault="000064A0" w:rsidP="00EB4B65">
      <w:pPr>
        <w:spacing w:after="120" w:line="242" w:lineRule="auto"/>
        <w:ind w:left="306" w:right="913" w:hanging="11"/>
        <w:rPr>
          <w:sz w:val="20"/>
          <w:szCs w:val="20"/>
        </w:rPr>
      </w:pPr>
      <w:r w:rsidRPr="00072AC5">
        <w:rPr>
          <w:sz w:val="20"/>
          <w:szCs w:val="20"/>
        </w:rPr>
        <w:t>The transition to carbon-free energy sources</w:t>
      </w:r>
      <w:r w:rsidR="00CF6A96" w:rsidRPr="00072AC5">
        <w:rPr>
          <w:sz w:val="20"/>
          <w:szCs w:val="20"/>
        </w:rPr>
        <w:t xml:space="preserve">, that is envisioned in the European Green Deal </w:t>
      </w:r>
      <w:r w:rsidR="00CF6A96" w:rsidRPr="00072AC5">
        <w:rPr>
          <w:sz w:val="20"/>
          <w:szCs w:val="20"/>
        </w:rPr>
        <w:fldChar w:fldCharType="begin" w:fldLock="1"/>
      </w:r>
      <w:r w:rsidR="00BA19CD" w:rsidRPr="00072AC5">
        <w:rPr>
          <w:sz w:val="20"/>
          <w:szCs w:val="20"/>
        </w:rPr>
        <w:instrText>ADDIN CSL_CITATION {"citationItems":[{"id":"ITEM-1","itemData":{"URL":"https://eur-lex.europa.eu/legal-content/EN/TXT/?uri=CELEX:52018DC0773","accessed":{"date-parts":[["2020","4","14"]]},"author":[{"dropping-particle":"","family":"European Commission","given":"","non-dropping-particle":"","parse-names":false,"suffix":""}],"container-title":"https://eur-lex.europa.eu/legal-content/EN/TXT/?uri=CELEX:52018DC0773","id":"ITEM-1","issued":{"date-parts":[["2018"]]},"title":"A Clean Planet for all A European strategic long-term vision for a prosperous, modern, competitive and climate neutral economy","type":"webpage"},"uris":["http://www.mendeley.com/documents/?uuid=80badb03-205c-346f-8ff7-9298912a953e"]}],"mendeley":{"formattedCitation":"[1]","plainTextFormattedCitation":"[1]","previouslyFormattedCitation":"[1]"},"properties":{"noteIndex":0},"schema":"https://github.com/citation-style-language/schema/raw/master/csl-citation.json"}</w:instrText>
      </w:r>
      <w:r w:rsidR="00CF6A96" w:rsidRPr="00072AC5">
        <w:rPr>
          <w:sz w:val="20"/>
          <w:szCs w:val="20"/>
        </w:rPr>
        <w:fldChar w:fldCharType="separate"/>
      </w:r>
      <w:r w:rsidR="00CF6A96" w:rsidRPr="00072AC5">
        <w:rPr>
          <w:noProof/>
          <w:sz w:val="20"/>
          <w:szCs w:val="20"/>
        </w:rPr>
        <w:t>[1]</w:t>
      </w:r>
      <w:r w:rsidR="00CF6A96" w:rsidRPr="00072AC5">
        <w:rPr>
          <w:sz w:val="20"/>
          <w:szCs w:val="20"/>
        </w:rPr>
        <w:fldChar w:fldCharType="end"/>
      </w:r>
      <w:r w:rsidR="00CF6A96" w:rsidRPr="00072AC5">
        <w:rPr>
          <w:sz w:val="20"/>
          <w:szCs w:val="20"/>
        </w:rPr>
        <w:t>,</w:t>
      </w:r>
      <w:r w:rsidRPr="00072AC5">
        <w:rPr>
          <w:sz w:val="20"/>
          <w:szCs w:val="20"/>
        </w:rPr>
        <w:t xml:space="preserve"> requires significant transformations in every sector.</w:t>
      </w:r>
      <w:r w:rsidR="00BA5B8B" w:rsidRPr="00072AC5">
        <w:rPr>
          <w:sz w:val="20"/>
          <w:szCs w:val="20"/>
        </w:rPr>
        <w:t xml:space="preserve"> Energy usage in cities and particularly </w:t>
      </w:r>
      <w:r w:rsidR="00786B00">
        <w:rPr>
          <w:sz w:val="20"/>
          <w:szCs w:val="20"/>
        </w:rPr>
        <w:t xml:space="preserve">in </w:t>
      </w:r>
      <w:r w:rsidR="00BA5B8B" w:rsidRPr="00072AC5">
        <w:rPr>
          <w:sz w:val="20"/>
          <w:szCs w:val="20"/>
        </w:rPr>
        <w:t xml:space="preserve">the residential sector account for over 25% of </w:t>
      </w:r>
      <w:r w:rsidR="00072AC5">
        <w:rPr>
          <w:sz w:val="20"/>
          <w:szCs w:val="20"/>
        </w:rPr>
        <w:t xml:space="preserve">the total primary energy demand, making it one of the highest emitting sectors. </w:t>
      </w:r>
      <w:r w:rsidR="00072AC5" w:rsidRPr="00072AC5">
        <w:rPr>
          <w:sz w:val="20"/>
          <w:szCs w:val="20"/>
        </w:rPr>
        <w:t xml:space="preserve">Currently, much of residential energy usage still </w:t>
      </w:r>
      <w:r w:rsidR="00786B00">
        <w:rPr>
          <w:sz w:val="20"/>
          <w:szCs w:val="20"/>
        </w:rPr>
        <w:t xml:space="preserve">strongly </w:t>
      </w:r>
      <w:r w:rsidR="00072AC5" w:rsidRPr="00072AC5">
        <w:rPr>
          <w:sz w:val="20"/>
          <w:szCs w:val="20"/>
        </w:rPr>
        <w:t>relies on carbon-based sources: h</w:t>
      </w:r>
      <w:r w:rsidR="00786B00">
        <w:rPr>
          <w:sz w:val="20"/>
          <w:szCs w:val="20"/>
        </w:rPr>
        <w:t>eating, hot water and cooking are</w:t>
      </w:r>
      <w:r w:rsidR="00072AC5" w:rsidRPr="00072AC5">
        <w:rPr>
          <w:sz w:val="20"/>
          <w:szCs w:val="20"/>
        </w:rPr>
        <w:t xml:space="preserve"> often based on natural gas, private transportation is based on diesel or gasoline and electricity </w:t>
      </w:r>
      <w:r w:rsidR="00072AC5">
        <w:rPr>
          <w:sz w:val="20"/>
          <w:szCs w:val="20"/>
        </w:rPr>
        <w:t xml:space="preserve">is, </w:t>
      </w:r>
      <w:r w:rsidR="00072AC5" w:rsidRPr="00072AC5">
        <w:rPr>
          <w:sz w:val="20"/>
          <w:szCs w:val="20"/>
        </w:rPr>
        <w:t>to a large part</w:t>
      </w:r>
      <w:r w:rsidR="00072AC5">
        <w:rPr>
          <w:sz w:val="20"/>
          <w:szCs w:val="20"/>
        </w:rPr>
        <w:t>,</w:t>
      </w:r>
      <w:r w:rsidR="00786B00">
        <w:rPr>
          <w:sz w:val="20"/>
          <w:szCs w:val="20"/>
        </w:rPr>
        <w:t xml:space="preserve"> supplied by coal and gas-</w:t>
      </w:r>
      <w:r w:rsidR="00072AC5" w:rsidRPr="00072AC5">
        <w:rPr>
          <w:sz w:val="20"/>
          <w:szCs w:val="20"/>
        </w:rPr>
        <w:t>based power plants.</w:t>
      </w:r>
    </w:p>
    <w:p w14:paraId="55752D63" w14:textId="77777777" w:rsidR="000064A0" w:rsidRPr="00072AC5" w:rsidRDefault="000064A0" w:rsidP="00072AC5">
      <w:pPr>
        <w:ind w:left="0" w:firstLine="293"/>
        <w:rPr>
          <w:sz w:val="20"/>
          <w:szCs w:val="20"/>
        </w:rPr>
      </w:pPr>
      <w:r w:rsidRPr="00072AC5">
        <w:rPr>
          <w:sz w:val="20"/>
          <w:szCs w:val="20"/>
        </w:rPr>
        <w:t xml:space="preserve">In order to decarbonize this sector, two main strategies can be identified: </w:t>
      </w:r>
    </w:p>
    <w:p w14:paraId="0B5B1219" w14:textId="50CA103A" w:rsidR="000064A0" w:rsidRPr="00072AC5" w:rsidRDefault="000064A0" w:rsidP="00072AC5">
      <w:pPr>
        <w:pStyle w:val="Paragrafoelenco"/>
        <w:numPr>
          <w:ilvl w:val="0"/>
          <w:numId w:val="6"/>
        </w:numPr>
        <w:rPr>
          <w:sz w:val="20"/>
          <w:szCs w:val="20"/>
        </w:rPr>
      </w:pPr>
      <w:r w:rsidRPr="00072AC5">
        <w:rPr>
          <w:sz w:val="20"/>
          <w:szCs w:val="20"/>
        </w:rPr>
        <w:t xml:space="preserve">Directly switching the energy </w:t>
      </w:r>
      <w:r w:rsidR="00022E65" w:rsidRPr="00072AC5">
        <w:rPr>
          <w:sz w:val="20"/>
          <w:szCs w:val="20"/>
        </w:rPr>
        <w:t>source to a carb</w:t>
      </w:r>
      <w:r w:rsidR="00072AC5">
        <w:rPr>
          <w:sz w:val="20"/>
          <w:szCs w:val="20"/>
        </w:rPr>
        <w:t>on-free source. Examples are: self</w:t>
      </w:r>
      <w:r w:rsidR="00072AC5" w:rsidRPr="00072AC5">
        <w:rPr>
          <w:sz w:val="20"/>
          <w:szCs w:val="20"/>
        </w:rPr>
        <w:t>-generating electricity with PV cells</w:t>
      </w:r>
      <w:r w:rsidR="00072AC5">
        <w:rPr>
          <w:sz w:val="20"/>
          <w:szCs w:val="20"/>
        </w:rPr>
        <w:t xml:space="preserve">, </w:t>
      </w:r>
      <w:r w:rsidR="00022E65" w:rsidRPr="00072AC5">
        <w:rPr>
          <w:sz w:val="20"/>
          <w:szCs w:val="20"/>
        </w:rPr>
        <w:t>using solar thermal collectors for hot water (and to a lim</w:t>
      </w:r>
      <w:r w:rsidR="00072AC5">
        <w:rPr>
          <w:sz w:val="20"/>
          <w:szCs w:val="20"/>
        </w:rPr>
        <w:t>ited extent also space heating)</w:t>
      </w:r>
      <w:r w:rsidR="00022E65" w:rsidRPr="00072AC5">
        <w:rPr>
          <w:sz w:val="20"/>
          <w:szCs w:val="20"/>
        </w:rPr>
        <w:t>.</w:t>
      </w:r>
    </w:p>
    <w:p w14:paraId="3FD20879" w14:textId="5E4D18B3" w:rsidR="00022E65" w:rsidRPr="00072AC5" w:rsidRDefault="00022E65" w:rsidP="00072AC5">
      <w:pPr>
        <w:pStyle w:val="Paragrafoelenco"/>
        <w:numPr>
          <w:ilvl w:val="0"/>
          <w:numId w:val="6"/>
        </w:numPr>
        <w:rPr>
          <w:sz w:val="20"/>
          <w:szCs w:val="20"/>
        </w:rPr>
      </w:pPr>
      <w:r w:rsidRPr="00072AC5">
        <w:rPr>
          <w:sz w:val="20"/>
          <w:szCs w:val="20"/>
        </w:rPr>
        <w:t xml:space="preserve">Electrifying end-uses and simultaneously increasing the amount of carbon-free generation </w:t>
      </w:r>
      <w:r w:rsidR="00072AC5">
        <w:rPr>
          <w:sz w:val="20"/>
          <w:szCs w:val="20"/>
        </w:rPr>
        <w:t xml:space="preserve">and storage options </w:t>
      </w:r>
      <w:r w:rsidRPr="00072AC5">
        <w:rPr>
          <w:sz w:val="20"/>
          <w:szCs w:val="20"/>
        </w:rPr>
        <w:t>in the electric grid. Examples of electrified residential end-uses are: electric vehicles for transportation, heat pumps fo</w:t>
      </w:r>
      <w:r w:rsidR="00786B00">
        <w:rPr>
          <w:sz w:val="20"/>
          <w:szCs w:val="20"/>
        </w:rPr>
        <w:t>r space heating and hot water, electric</w:t>
      </w:r>
      <w:r w:rsidRPr="00072AC5">
        <w:rPr>
          <w:sz w:val="20"/>
          <w:szCs w:val="20"/>
        </w:rPr>
        <w:t xml:space="preserve"> boilers for hot water and electric or induction stoves for cooking.</w:t>
      </w:r>
    </w:p>
    <w:p w14:paraId="2296BA4B" w14:textId="280469FA" w:rsidR="00072AC5" w:rsidRPr="00072AC5" w:rsidRDefault="00616B06" w:rsidP="00EB4B65">
      <w:pPr>
        <w:spacing w:after="120" w:line="242" w:lineRule="auto"/>
        <w:ind w:left="306" w:right="913" w:hanging="11"/>
        <w:rPr>
          <w:sz w:val="20"/>
          <w:szCs w:val="20"/>
        </w:rPr>
      </w:pPr>
      <w:r>
        <w:rPr>
          <w:sz w:val="20"/>
          <w:szCs w:val="20"/>
        </w:rPr>
        <w:t>These two strategies</w:t>
      </w:r>
      <w:r w:rsidR="00072AC5" w:rsidRPr="00072AC5">
        <w:rPr>
          <w:sz w:val="20"/>
          <w:szCs w:val="20"/>
        </w:rPr>
        <w:t xml:space="preserve"> are not mutually exclusive, in some cases there can be synergies between them: a heat pump can be made more</w:t>
      </w:r>
      <w:r w:rsidR="00F461AE">
        <w:rPr>
          <w:sz w:val="20"/>
          <w:szCs w:val="20"/>
        </w:rPr>
        <w:t xml:space="preserve"> efficient when it is coupled with</w:t>
      </w:r>
      <w:r w:rsidR="00072AC5" w:rsidRPr="00072AC5">
        <w:rPr>
          <w:sz w:val="20"/>
          <w:szCs w:val="20"/>
        </w:rPr>
        <w:t xml:space="preserve"> a thermal reservoir that is heated by solar thermal c</w:t>
      </w:r>
      <w:r w:rsidR="00072AC5">
        <w:rPr>
          <w:sz w:val="20"/>
          <w:szCs w:val="20"/>
        </w:rPr>
        <w:t>ollectors, a</w:t>
      </w:r>
      <w:r w:rsidR="00072AC5" w:rsidRPr="00072AC5">
        <w:rPr>
          <w:sz w:val="20"/>
          <w:szCs w:val="20"/>
        </w:rPr>
        <w:t xml:space="preserve">n electric vehicle </w:t>
      </w:r>
      <w:r w:rsidR="00072AC5">
        <w:rPr>
          <w:sz w:val="20"/>
          <w:szCs w:val="20"/>
        </w:rPr>
        <w:t>can</w:t>
      </w:r>
      <w:r w:rsidR="00072AC5" w:rsidRPr="00072AC5">
        <w:rPr>
          <w:sz w:val="20"/>
          <w:szCs w:val="20"/>
        </w:rPr>
        <w:t xml:space="preserve"> be charged at lo</w:t>
      </w:r>
      <w:r w:rsidR="00072AC5">
        <w:rPr>
          <w:sz w:val="20"/>
          <w:szCs w:val="20"/>
        </w:rPr>
        <w:t>wer cost and with fewer emissions with rooftop PV cells</w:t>
      </w:r>
      <w:r w:rsidR="00072AC5" w:rsidRPr="00072AC5">
        <w:rPr>
          <w:sz w:val="20"/>
          <w:szCs w:val="20"/>
        </w:rPr>
        <w:t>.</w:t>
      </w:r>
    </w:p>
    <w:p w14:paraId="7F8C0DF2" w14:textId="1671B1A6" w:rsidR="00E01E0B" w:rsidRDefault="00E01E0B" w:rsidP="00EB4B65">
      <w:pPr>
        <w:spacing w:after="120" w:line="242" w:lineRule="auto"/>
        <w:ind w:left="306" w:right="913" w:hanging="11"/>
        <w:rPr>
          <w:sz w:val="20"/>
          <w:szCs w:val="20"/>
        </w:rPr>
      </w:pPr>
      <w:r>
        <w:rPr>
          <w:sz w:val="20"/>
          <w:szCs w:val="20"/>
        </w:rPr>
        <w:t>However, these options require financial investments, which can be burdensome for households. If the expected cost-savin</w:t>
      </w:r>
      <w:r w:rsidR="00563A55">
        <w:rPr>
          <w:sz w:val="20"/>
          <w:szCs w:val="20"/>
        </w:rPr>
        <w:t>gs from lower energy prices can</w:t>
      </w:r>
      <w:r>
        <w:rPr>
          <w:sz w:val="20"/>
          <w:szCs w:val="20"/>
        </w:rPr>
        <w:t xml:space="preserve">not </w:t>
      </w:r>
      <w:r w:rsidR="00563A55">
        <w:rPr>
          <w:sz w:val="20"/>
          <w:szCs w:val="20"/>
        </w:rPr>
        <w:t xml:space="preserve">largely </w:t>
      </w:r>
      <w:r>
        <w:rPr>
          <w:sz w:val="20"/>
          <w:szCs w:val="20"/>
        </w:rPr>
        <w:t xml:space="preserve">compensate for the investment costs, most households </w:t>
      </w:r>
      <w:r w:rsidR="00563A55">
        <w:rPr>
          <w:sz w:val="20"/>
          <w:szCs w:val="20"/>
        </w:rPr>
        <w:t xml:space="preserve">will not </w:t>
      </w:r>
      <w:r>
        <w:rPr>
          <w:sz w:val="20"/>
          <w:szCs w:val="20"/>
        </w:rPr>
        <w:t xml:space="preserve">make these investments. And even when the cost savings are larger than investment costs over the lifetime of the asset, many households may require subsidies or financial assistance to overcome the high </w:t>
      </w:r>
      <w:r w:rsidR="00F461AE">
        <w:rPr>
          <w:sz w:val="20"/>
          <w:szCs w:val="20"/>
        </w:rPr>
        <w:t xml:space="preserve">upfront </w:t>
      </w:r>
      <w:r>
        <w:rPr>
          <w:sz w:val="20"/>
          <w:szCs w:val="20"/>
        </w:rPr>
        <w:t xml:space="preserve">costs. </w:t>
      </w:r>
    </w:p>
    <w:p w14:paraId="3DA247FC" w14:textId="6FA6BA41" w:rsidR="00E01E0B" w:rsidRDefault="00E01E0B" w:rsidP="00EB4B65">
      <w:pPr>
        <w:spacing w:after="120" w:line="242" w:lineRule="auto"/>
        <w:ind w:left="306" w:right="913" w:hanging="11"/>
        <w:rPr>
          <w:sz w:val="20"/>
          <w:szCs w:val="20"/>
        </w:rPr>
      </w:pPr>
      <w:r>
        <w:rPr>
          <w:sz w:val="20"/>
          <w:szCs w:val="20"/>
        </w:rPr>
        <w:t xml:space="preserve">Currently, most households have electricity retail contracts with a constant price per kWh, or perhaps a day-and-night rate with lower prices during the night. These rates may not be conducive to making investments in high-power electrified end-uses such as EVs and heat pumps, as they do not allow to make use of lower electricity prices during times of high availability of cheap renewable energy from wind and solar. Retail rates that more closely mirror this availability of cheap power may </w:t>
      </w:r>
      <w:r w:rsidR="008D1349">
        <w:rPr>
          <w:sz w:val="20"/>
          <w:szCs w:val="20"/>
        </w:rPr>
        <w:t>induce more investments in electrified end-uses.</w:t>
      </w:r>
    </w:p>
    <w:p w14:paraId="2BC11379" w14:textId="2040478F" w:rsidR="00E01E0B" w:rsidRDefault="008D1349" w:rsidP="00EB4B65">
      <w:pPr>
        <w:spacing w:after="120" w:line="242" w:lineRule="auto"/>
        <w:ind w:left="306" w:right="913" w:hanging="11"/>
        <w:rPr>
          <w:sz w:val="20"/>
          <w:szCs w:val="20"/>
        </w:rPr>
      </w:pPr>
      <w:r>
        <w:rPr>
          <w:sz w:val="20"/>
          <w:szCs w:val="20"/>
        </w:rPr>
        <w:t>However, widespread electrification of personal transport and heating may lead to another problem: it can cause overloading of the electric network that is used to transport electric power from large generation centers and distribute it to end-users. This is especially true with the retail rates described above, as many of these new high-power devices may simultaneously react to low retail prices and create large peaks for which the network was not designed. Currently, network charges typically do not give an incentive to lower these peaks and protect the network against overloading.</w:t>
      </w:r>
    </w:p>
    <w:p w14:paraId="17F15785" w14:textId="24592124" w:rsidR="000064A0" w:rsidRPr="00072AC5" w:rsidRDefault="008D1349" w:rsidP="00B303A0">
      <w:pPr>
        <w:spacing w:after="120" w:line="242" w:lineRule="auto"/>
        <w:ind w:left="306" w:right="913" w:hanging="11"/>
        <w:rPr>
          <w:sz w:val="20"/>
          <w:szCs w:val="20"/>
        </w:rPr>
      </w:pPr>
      <w:r>
        <w:rPr>
          <w:sz w:val="20"/>
          <w:szCs w:val="20"/>
        </w:rPr>
        <w:t xml:space="preserve">In this contribution, </w:t>
      </w:r>
      <w:r w:rsidRPr="008D1349">
        <w:rPr>
          <w:sz w:val="20"/>
          <w:szCs w:val="20"/>
        </w:rPr>
        <w:t>we investigate the impact of alter</w:t>
      </w:r>
      <w:r>
        <w:rPr>
          <w:sz w:val="20"/>
          <w:szCs w:val="20"/>
        </w:rPr>
        <w:t>native electricity retail rates, network charges</w:t>
      </w:r>
      <w:r w:rsidRPr="008D1349">
        <w:rPr>
          <w:sz w:val="20"/>
          <w:szCs w:val="20"/>
        </w:rPr>
        <w:t xml:space="preserve"> and the interplay between </w:t>
      </w:r>
      <w:r>
        <w:rPr>
          <w:sz w:val="20"/>
          <w:szCs w:val="20"/>
        </w:rPr>
        <w:t>them</w:t>
      </w:r>
      <w:r w:rsidR="00EB4B65">
        <w:rPr>
          <w:sz w:val="20"/>
          <w:szCs w:val="20"/>
        </w:rPr>
        <w:t>.</w:t>
      </w:r>
      <w:r>
        <w:rPr>
          <w:sz w:val="20"/>
          <w:szCs w:val="20"/>
        </w:rPr>
        <w:t xml:space="preserve"> </w:t>
      </w:r>
      <w:r w:rsidR="00EB4B65">
        <w:rPr>
          <w:sz w:val="20"/>
          <w:szCs w:val="20"/>
        </w:rPr>
        <w:t xml:space="preserve">The main objectives are </w:t>
      </w:r>
      <w:r>
        <w:rPr>
          <w:sz w:val="20"/>
          <w:szCs w:val="20"/>
        </w:rPr>
        <w:t xml:space="preserve">encouraging investments in fossil-free technologies and protecting the network </w:t>
      </w:r>
      <w:r w:rsidR="00EB4B65">
        <w:rPr>
          <w:sz w:val="20"/>
          <w:szCs w:val="20"/>
        </w:rPr>
        <w:t>against overloading from an increase in electrified end-uses</w:t>
      </w:r>
      <w:r w:rsidRPr="008D1349">
        <w:rPr>
          <w:sz w:val="20"/>
          <w:szCs w:val="20"/>
        </w:rPr>
        <w:t xml:space="preserve">. </w:t>
      </w:r>
    </w:p>
    <w:p w14:paraId="7E9CFC36" w14:textId="6C1554C4" w:rsidR="00485A81" w:rsidRDefault="004C7C58" w:rsidP="008159C1">
      <w:pPr>
        <w:pStyle w:val="Titolo3"/>
        <w:spacing w:after="120"/>
        <w:ind w:left="0" w:firstLine="295"/>
        <w:rPr>
          <w:sz w:val="22"/>
          <w:szCs w:val="20"/>
        </w:rPr>
      </w:pPr>
      <w:r w:rsidRPr="00EB4B65">
        <w:rPr>
          <w:sz w:val="22"/>
          <w:szCs w:val="20"/>
        </w:rPr>
        <w:lastRenderedPageBreak/>
        <w:t>Method</w:t>
      </w:r>
      <w:r w:rsidR="00EB4B65">
        <w:rPr>
          <w:sz w:val="22"/>
          <w:szCs w:val="20"/>
        </w:rPr>
        <w:t>s</w:t>
      </w:r>
      <w:r w:rsidRPr="00EB4B65">
        <w:rPr>
          <w:sz w:val="22"/>
          <w:szCs w:val="20"/>
        </w:rPr>
        <w:t xml:space="preserve"> </w:t>
      </w:r>
    </w:p>
    <w:p w14:paraId="0961E07D" w14:textId="1DBEBDA4" w:rsidR="001831E2" w:rsidRPr="00913F6D" w:rsidRDefault="00913F6D" w:rsidP="00913F6D">
      <w:pPr>
        <w:spacing w:after="120" w:line="242" w:lineRule="auto"/>
        <w:ind w:left="293" w:right="913" w:firstLine="0"/>
        <w:rPr>
          <w:sz w:val="20"/>
          <w:szCs w:val="20"/>
        </w:rPr>
      </w:pPr>
      <w:r w:rsidRPr="00EB4B65">
        <w:rPr>
          <w:sz w:val="20"/>
          <w:szCs w:val="20"/>
        </w:rPr>
        <w:t xml:space="preserve">We use the Calliope modeling framework </w:t>
      </w:r>
      <w:r w:rsidRPr="00EB4B65">
        <w:rPr>
          <w:sz w:val="20"/>
          <w:szCs w:val="20"/>
        </w:rPr>
        <w:fldChar w:fldCharType="begin" w:fldLock="1"/>
      </w:r>
      <w:r w:rsidRPr="00EB4B65">
        <w:rPr>
          <w:sz w:val="20"/>
          <w:szCs w:val="20"/>
        </w:rPr>
        <w:instrText>ADDIN CSL_CITATION {"citationItems":[{"id":"ITEM-1","itemData":{"DOI":"10.21105/JOSS.00825","ISSN":"2475-9066","abstract":"Energy system models create coherent quantitative descriptions of how energy is con- verted, transported, and consumed, at scales ranging from urban districts to entire conti- nents. Formulating such models as optimisation problems allows a modeller to asses the effect of constraints, such as limited land availability for wind power deployment, the cost of battery electricity storage, or the elimination of fossil fuels from a country or a city, on the feasibility or cost of the modelled system. These models are particularly important in planning and policy-making for the transformation of the global energy system to address climate change. Calliope is a framework to build energy system models, designed to analyse systems with arbitrarily high spatial and temporal resolution, with a scale-agnostic mathematical formulation permitting analyses ranging from single urban districts to countries and con- tinents. Its formulation of energy system components was influenced by the power nodes modelling framework by Heussen et al. (Heussen, Koch, Ulbig, &amp; Andersson, 2010), but generalised to consider energy carriers other than electricity. Calliope’s key features in- clude the ability to handle high spatial and temporal resolution and to easily run on high-performance computing systems. Its design cleanly separates the general framework (code) from the problem-specific model (data). It provides both a command-line interface and an API for programmatic use, to be useful both for users experienced with Python and those with no Python knowledge. A Calliope model consists of a collection of YAML and CSV files that define technologies, locations, links between locations, resource potentials, and other constraints. Calliope takes these files, constructs an optimisation problem, solves it, and reports results in the form of xarray (xarray, 2018) Datasets, which can easily be saved to NetCDF files for further processing. It uses Pyomo (Pyomo, 2018) as a backend to interface with both open and commercial solvers, currently handling linear and mixed-integer problems, although nonlinear components could be implemented if necessary for new kinds of problems. Cal- liope’s built-in tools allow interactive exploration of results using Plotly (Plotly, 2018), as shown in Figure 1. Calliope has been used in various studies, for example, analyses of the national-scale power systems in Britain (Pfenninger &amp; Keirstead, 2015a) and South Africa (Pfenninger &amp; Keirstead, 2015b), and in me…","author":[{"dropping-particle":"","family":"Pfenninger","given":"Stefan","non-dropping-particle":"","parse-names":false,"suffix":""},{"dropping-particle":"","family":"Pickering","given":"Bryn","non-dropping-particle":"","parse-names":false,"suffix":""}],"container-title":"Journal of Open Source Software","id":"ITEM-1","issue":"29","issued":{"date-parts":[["2018","9","12"]]},"page":"825","publisher":"The Open Journal","title":"Calliope: a multi-scale energy systems modelling framework","type":"article-journal","volume":"3"},"uris":["http://www.mendeley.com/documents/?uuid=994e4c71-b737-3ee3-b28c-dde6b1ff40f0"]}],"mendeley":{"formattedCitation":"[2]","plainTextFormattedCitation":"[2]","previouslyFormattedCitation":"[2]"},"properties":{"noteIndex":0},"schema":"https://github.com/citation-style-language/schema/raw/master/csl-citation.json"}</w:instrText>
      </w:r>
      <w:r w:rsidRPr="00EB4B65">
        <w:rPr>
          <w:sz w:val="20"/>
          <w:szCs w:val="20"/>
        </w:rPr>
        <w:fldChar w:fldCharType="separate"/>
      </w:r>
      <w:r w:rsidRPr="00EB4B65">
        <w:rPr>
          <w:noProof/>
          <w:sz w:val="20"/>
          <w:szCs w:val="20"/>
        </w:rPr>
        <w:t>[2]</w:t>
      </w:r>
      <w:r w:rsidRPr="00EB4B65">
        <w:rPr>
          <w:sz w:val="20"/>
          <w:szCs w:val="20"/>
        </w:rPr>
        <w:fldChar w:fldCharType="end"/>
      </w:r>
      <w:r w:rsidRPr="00EB4B65">
        <w:rPr>
          <w:sz w:val="20"/>
          <w:szCs w:val="20"/>
        </w:rPr>
        <w:t xml:space="preserve"> to build an energy system model of a typical residential neighborhood in the Netherlands. </w:t>
      </w:r>
      <w:r>
        <w:rPr>
          <w:sz w:val="20"/>
          <w:szCs w:val="20"/>
        </w:rPr>
        <w:t>The model includes</w:t>
      </w:r>
      <w:r w:rsidRPr="001831E2">
        <w:rPr>
          <w:sz w:val="20"/>
          <w:szCs w:val="20"/>
        </w:rPr>
        <w:t xml:space="preserve"> five different energy end-use demand types: electricity, heating, transportation, hot water and cooking. The initial configuration is based on technologies that are currently in use: gas boilers for heating and hot water, gas fired stoves and diesel or gasoline cars for private transportation.</w:t>
      </w:r>
    </w:p>
    <w:p w14:paraId="4A26A7C2" w14:textId="504B46E4" w:rsidR="0089044C" w:rsidRDefault="00B303A0" w:rsidP="00913F6D">
      <w:pPr>
        <w:spacing w:after="120" w:line="242" w:lineRule="auto"/>
        <w:ind w:left="306" w:right="913" w:hanging="11"/>
        <w:rPr>
          <w:sz w:val="20"/>
          <w:szCs w:val="20"/>
        </w:rPr>
      </w:pPr>
      <w:r>
        <w:rPr>
          <w:sz w:val="20"/>
          <w:szCs w:val="20"/>
        </w:rPr>
        <w:t>For</w:t>
      </w:r>
      <w:r w:rsidR="001971EC">
        <w:rPr>
          <w:sz w:val="20"/>
          <w:szCs w:val="20"/>
        </w:rPr>
        <w:t xml:space="preserve"> </w:t>
      </w:r>
      <w:proofErr w:type="spellStart"/>
      <w:r w:rsidR="001971EC">
        <w:rPr>
          <w:sz w:val="20"/>
          <w:szCs w:val="20"/>
        </w:rPr>
        <w:t>decarbonization</w:t>
      </w:r>
      <w:proofErr w:type="spellEnd"/>
      <w:r w:rsidR="001971EC">
        <w:rPr>
          <w:sz w:val="20"/>
          <w:szCs w:val="20"/>
        </w:rPr>
        <w:t xml:space="preserve"> options, we allow for investments </w:t>
      </w:r>
      <w:r w:rsidR="0089044C" w:rsidRPr="001971EC">
        <w:rPr>
          <w:sz w:val="20"/>
          <w:szCs w:val="20"/>
        </w:rPr>
        <w:t>in</w:t>
      </w:r>
      <w:r w:rsidR="001971EC">
        <w:rPr>
          <w:sz w:val="20"/>
          <w:szCs w:val="20"/>
        </w:rPr>
        <w:t xml:space="preserve"> the following</w:t>
      </w:r>
      <w:r w:rsidR="0089044C" w:rsidRPr="001971EC">
        <w:rPr>
          <w:sz w:val="20"/>
          <w:szCs w:val="20"/>
        </w:rPr>
        <w:t xml:space="preserve"> electrified end-uses </w:t>
      </w:r>
      <w:r w:rsidR="001971EC">
        <w:rPr>
          <w:sz w:val="20"/>
          <w:szCs w:val="20"/>
        </w:rPr>
        <w:t xml:space="preserve">and </w:t>
      </w:r>
      <w:r w:rsidR="0089044C" w:rsidRPr="001971EC">
        <w:rPr>
          <w:sz w:val="20"/>
          <w:szCs w:val="20"/>
        </w:rPr>
        <w:t xml:space="preserve">carbon-free energy end-uses: heat pumps, electric boilers and stoves, PV </w:t>
      </w:r>
      <w:r w:rsidR="001971EC">
        <w:rPr>
          <w:sz w:val="20"/>
          <w:szCs w:val="20"/>
        </w:rPr>
        <w:t>cells, batteries, solar thermal collectors with thermal storage and</w:t>
      </w:r>
      <w:r w:rsidR="0089044C" w:rsidRPr="001971EC">
        <w:rPr>
          <w:sz w:val="20"/>
          <w:szCs w:val="20"/>
        </w:rPr>
        <w:t xml:space="preserve"> electric vehicles</w:t>
      </w:r>
      <w:r w:rsidR="001971EC">
        <w:rPr>
          <w:sz w:val="20"/>
          <w:szCs w:val="20"/>
        </w:rPr>
        <w:t xml:space="preserve">. We also model a network constraint at a low-voltage neighborhood-level transformer. In case of strong increase of electric peaks, we require the network to be upgraded and split the resulting costs among all customers in the neighborhood. The inputs for prices and carbon-content of electricity from the national grid </w:t>
      </w:r>
      <w:r w:rsidR="0089044C" w:rsidRPr="001971EC">
        <w:rPr>
          <w:sz w:val="20"/>
          <w:szCs w:val="20"/>
        </w:rPr>
        <w:t>is based on results from the Euro-Calliope model for a possible low-carbon generation mix by 2030.</w:t>
      </w:r>
    </w:p>
    <w:p w14:paraId="56DA5E9F" w14:textId="545338F6" w:rsidR="00CF6A96" w:rsidRPr="00072AC5" w:rsidRDefault="00913F6D" w:rsidP="004D49CE">
      <w:pPr>
        <w:spacing w:after="120" w:line="242" w:lineRule="auto"/>
        <w:ind w:left="306" w:right="913" w:hanging="11"/>
        <w:rPr>
          <w:sz w:val="20"/>
          <w:szCs w:val="20"/>
        </w:rPr>
      </w:pPr>
      <w:r>
        <w:rPr>
          <w:sz w:val="20"/>
          <w:szCs w:val="20"/>
        </w:rPr>
        <w:t>To investigate the impact of retail rates and netw</w:t>
      </w:r>
      <w:r w:rsidR="002E5220">
        <w:rPr>
          <w:sz w:val="20"/>
          <w:szCs w:val="20"/>
        </w:rPr>
        <w:t>ork charges, we change the model inputs for electricity prices and network constraints. Modeled retail rates are: flat, Time-of-Use (</w:t>
      </w:r>
      <w:proofErr w:type="spellStart"/>
      <w:r w:rsidR="002E5220">
        <w:rPr>
          <w:sz w:val="20"/>
          <w:szCs w:val="20"/>
        </w:rPr>
        <w:t>ToU</w:t>
      </w:r>
      <w:proofErr w:type="spellEnd"/>
      <w:r w:rsidR="002E5220">
        <w:rPr>
          <w:sz w:val="20"/>
          <w:szCs w:val="20"/>
        </w:rPr>
        <w:t xml:space="preserve">) and Real Time Pricing (RTP). Modeled network tariffs are: fixed, flat volumetric, </w:t>
      </w:r>
      <w:r w:rsidR="00786B00">
        <w:rPr>
          <w:sz w:val="20"/>
          <w:szCs w:val="20"/>
        </w:rPr>
        <w:t xml:space="preserve">two-segment tariff with a low and high-power rate </w:t>
      </w:r>
      <w:r w:rsidR="002E5220">
        <w:rPr>
          <w:sz w:val="20"/>
          <w:szCs w:val="20"/>
        </w:rPr>
        <w:t>and a hypothetical smart tariff that enforces the network constraint at the LV level while minimizing</w:t>
      </w:r>
      <w:r w:rsidR="00B303A0">
        <w:rPr>
          <w:sz w:val="20"/>
          <w:szCs w:val="20"/>
        </w:rPr>
        <w:t xml:space="preserve"> the dispatch</w:t>
      </w:r>
      <w:r w:rsidR="002E5220">
        <w:rPr>
          <w:sz w:val="20"/>
          <w:szCs w:val="20"/>
        </w:rPr>
        <w:t xml:space="preserve"> cost</w:t>
      </w:r>
      <w:r w:rsidR="00B303A0">
        <w:rPr>
          <w:sz w:val="20"/>
          <w:szCs w:val="20"/>
        </w:rPr>
        <w:t xml:space="preserve"> of flexible resources</w:t>
      </w:r>
      <w:r w:rsidR="002E5220">
        <w:rPr>
          <w:sz w:val="20"/>
          <w:szCs w:val="20"/>
        </w:rPr>
        <w:t xml:space="preserve">. For each combination of retail rates and tariffs, we study the optimal investments in the possible </w:t>
      </w:r>
      <w:proofErr w:type="spellStart"/>
      <w:r w:rsidR="002E5220">
        <w:rPr>
          <w:sz w:val="20"/>
          <w:szCs w:val="20"/>
        </w:rPr>
        <w:t>decarbonization</w:t>
      </w:r>
      <w:proofErr w:type="spellEnd"/>
      <w:r w:rsidR="002E5220">
        <w:rPr>
          <w:sz w:val="20"/>
          <w:szCs w:val="20"/>
        </w:rPr>
        <w:t xml:space="preserve"> options and required network upgrades.</w:t>
      </w:r>
    </w:p>
    <w:p w14:paraId="126CECC8" w14:textId="77777777" w:rsidR="00485A81" w:rsidRPr="00072AC5" w:rsidRDefault="00731931" w:rsidP="00B303A0">
      <w:pPr>
        <w:pStyle w:val="Titolo3"/>
        <w:spacing w:after="120"/>
        <w:ind w:left="289" w:hanging="11"/>
        <w:rPr>
          <w:sz w:val="20"/>
          <w:szCs w:val="20"/>
        </w:rPr>
      </w:pPr>
      <w:r w:rsidRPr="00072AC5">
        <w:rPr>
          <w:sz w:val="20"/>
          <w:szCs w:val="20"/>
        </w:rPr>
        <w:t xml:space="preserve">(Expected) </w:t>
      </w:r>
      <w:r w:rsidR="004C7C58" w:rsidRPr="00072AC5">
        <w:rPr>
          <w:sz w:val="20"/>
          <w:szCs w:val="20"/>
        </w:rPr>
        <w:t xml:space="preserve">Results </w:t>
      </w:r>
    </w:p>
    <w:p w14:paraId="5110C2A2" w14:textId="77777777" w:rsidR="00B303A0" w:rsidRPr="00B303A0" w:rsidRDefault="00B303A0" w:rsidP="008159C1">
      <w:pPr>
        <w:spacing w:after="120"/>
        <w:ind w:left="293" w:firstLine="0"/>
        <w:rPr>
          <w:sz w:val="20"/>
          <w:szCs w:val="20"/>
        </w:rPr>
      </w:pPr>
      <w:r>
        <w:t>The</w:t>
      </w:r>
      <w:r>
        <w:rPr>
          <w:sz w:val="20"/>
          <w:szCs w:val="20"/>
        </w:rPr>
        <w:t xml:space="preserve"> profitability of</w:t>
      </w:r>
      <w:r w:rsidR="00BA5B8B" w:rsidRPr="00B303A0">
        <w:rPr>
          <w:sz w:val="20"/>
          <w:szCs w:val="20"/>
        </w:rPr>
        <w:t xml:space="preserve"> investments</w:t>
      </w:r>
      <w:r>
        <w:rPr>
          <w:sz w:val="20"/>
          <w:szCs w:val="20"/>
        </w:rPr>
        <w:t xml:space="preserve"> is impacted by the type of retail rate and network tariff that a residential customer is subscribed to.</w:t>
      </w:r>
      <w:r w:rsidRPr="00072AC5">
        <w:rPr>
          <w:sz w:val="20"/>
          <w:szCs w:val="20"/>
        </w:rPr>
        <w:t xml:space="preserve"> </w:t>
      </w:r>
      <w:r w:rsidR="00731931" w:rsidRPr="00072AC5">
        <w:rPr>
          <w:sz w:val="20"/>
          <w:szCs w:val="20"/>
        </w:rPr>
        <w:t>Flat volumetric retail rates give limited incentive to invest in electrification of flexible end-uses such as heating and transportation, as they do not allow the inherent flexibility potentials of these end-uses to be utilized.</w:t>
      </w:r>
      <w:r>
        <w:rPr>
          <w:sz w:val="20"/>
          <w:szCs w:val="20"/>
        </w:rPr>
        <w:t xml:space="preserve"> </w:t>
      </w:r>
      <w:proofErr w:type="spellStart"/>
      <w:r w:rsidRPr="00B303A0">
        <w:rPr>
          <w:sz w:val="20"/>
          <w:szCs w:val="20"/>
        </w:rPr>
        <w:t>ToU</w:t>
      </w:r>
      <w:proofErr w:type="spellEnd"/>
      <w:r w:rsidRPr="00B303A0">
        <w:rPr>
          <w:sz w:val="20"/>
          <w:szCs w:val="20"/>
        </w:rPr>
        <w:t xml:space="preserve"> rates give stronger incentives, they allow EV chargers and heat pumps to make use of lower energy prices to a limited degree.</w:t>
      </w:r>
      <w:r>
        <w:rPr>
          <w:sz w:val="20"/>
          <w:szCs w:val="20"/>
        </w:rPr>
        <w:t xml:space="preserve"> </w:t>
      </w:r>
      <w:r w:rsidRPr="00B303A0">
        <w:rPr>
          <w:sz w:val="20"/>
          <w:szCs w:val="20"/>
        </w:rPr>
        <w:t>Retail rates based on real-time market prices give the strongest incentives for electrification, as they allow flexible end-uses to make use of the lowest available prices.</w:t>
      </w:r>
    </w:p>
    <w:p w14:paraId="745DDC91" w14:textId="0142314A" w:rsidR="00731931" w:rsidRPr="00B303A0" w:rsidRDefault="00B303A0" w:rsidP="008159C1">
      <w:pPr>
        <w:spacing w:after="120"/>
        <w:rPr>
          <w:sz w:val="20"/>
          <w:szCs w:val="20"/>
        </w:rPr>
      </w:pPr>
      <w:r>
        <w:rPr>
          <w:sz w:val="20"/>
          <w:szCs w:val="20"/>
        </w:rPr>
        <w:t>E</w:t>
      </w:r>
      <w:r w:rsidR="00731931" w:rsidRPr="00B303A0">
        <w:rPr>
          <w:sz w:val="20"/>
          <w:szCs w:val="20"/>
        </w:rPr>
        <w:t>lectri</w:t>
      </w:r>
      <w:r>
        <w:rPr>
          <w:sz w:val="20"/>
          <w:szCs w:val="20"/>
        </w:rPr>
        <w:t xml:space="preserve">fication of energy end-uses </w:t>
      </w:r>
      <w:r w:rsidR="00731931" w:rsidRPr="00B303A0">
        <w:rPr>
          <w:sz w:val="20"/>
          <w:szCs w:val="20"/>
        </w:rPr>
        <w:t>lead</w:t>
      </w:r>
      <w:r>
        <w:rPr>
          <w:sz w:val="20"/>
          <w:szCs w:val="20"/>
        </w:rPr>
        <w:t>s</w:t>
      </w:r>
      <w:r w:rsidR="00731931" w:rsidRPr="00B303A0">
        <w:rPr>
          <w:sz w:val="20"/>
          <w:szCs w:val="20"/>
        </w:rPr>
        <w:t xml:space="preserve"> to increasing de</w:t>
      </w:r>
      <w:r>
        <w:rPr>
          <w:sz w:val="20"/>
          <w:szCs w:val="20"/>
        </w:rPr>
        <w:t>mand and feed-in peaks. This will</w:t>
      </w:r>
      <w:r w:rsidR="00731931" w:rsidRPr="00B303A0">
        <w:rPr>
          <w:sz w:val="20"/>
          <w:szCs w:val="20"/>
        </w:rPr>
        <w:t xml:space="preserve"> be particularly pronounced for retail rates based on</w:t>
      </w:r>
      <w:r>
        <w:rPr>
          <w:sz w:val="20"/>
          <w:szCs w:val="20"/>
        </w:rPr>
        <w:t xml:space="preserve"> real-time</w:t>
      </w:r>
      <w:r w:rsidR="00731931" w:rsidRPr="00B303A0">
        <w:rPr>
          <w:sz w:val="20"/>
          <w:szCs w:val="20"/>
        </w:rPr>
        <w:t xml:space="preserve"> market prices, as these give both the strongest incentives for investing in electrification, as well as concentrating power demand in peaks centered around low prices. Thus, </w:t>
      </w:r>
      <w:r w:rsidR="00786B00">
        <w:rPr>
          <w:sz w:val="20"/>
          <w:szCs w:val="20"/>
        </w:rPr>
        <w:t>intelligently designed tariffs</w:t>
      </w:r>
      <w:r w:rsidR="00786B00" w:rsidRPr="00B303A0">
        <w:rPr>
          <w:sz w:val="20"/>
          <w:szCs w:val="20"/>
        </w:rPr>
        <w:t xml:space="preserve"> </w:t>
      </w:r>
      <w:r w:rsidR="00731931" w:rsidRPr="00B303A0">
        <w:rPr>
          <w:sz w:val="20"/>
          <w:szCs w:val="20"/>
        </w:rPr>
        <w:t>need to be a vital complement to these rates.</w:t>
      </w:r>
    </w:p>
    <w:p w14:paraId="51DCB702" w14:textId="59B90F57" w:rsidR="008159C1" w:rsidRDefault="00BA19CD" w:rsidP="008159C1">
      <w:pPr>
        <w:spacing w:after="120" w:line="242" w:lineRule="auto"/>
        <w:ind w:left="306" w:right="913" w:hanging="11"/>
        <w:rPr>
          <w:sz w:val="20"/>
          <w:szCs w:val="20"/>
        </w:rPr>
      </w:pPr>
      <w:r w:rsidRPr="00B303A0">
        <w:rPr>
          <w:sz w:val="20"/>
          <w:szCs w:val="20"/>
        </w:rPr>
        <w:t xml:space="preserve">Fixed and purely volumetric tariffs, which are currently still common in many countries </w:t>
      </w:r>
      <w:r w:rsidRPr="00B303A0">
        <w:rPr>
          <w:sz w:val="20"/>
          <w:szCs w:val="20"/>
        </w:rPr>
        <w:fldChar w:fldCharType="begin" w:fldLock="1"/>
      </w:r>
      <w:r w:rsidRPr="00B303A0">
        <w:rPr>
          <w:sz w:val="20"/>
          <w:szCs w:val="20"/>
        </w:rPr>
        <w:instrText>ADDIN CSL_CITATION {"citationItems":[{"id":"ITEM-1","itemData":{"DOI":"10.2760/104777","ISBN":"9789279987380","author":[{"dropping-particle":"","family":"Prettico","given":"G","non-dropping-particle":"","parse-names":false,"suffix":""},{"dropping-particle":"","family":"Flammini","given":"M G","non-dropping-particle":"","parse-names":false,"suffix":""}],"id":"ITEM-1","issued":{"date-parts":[["2019"]]},"title":"Distribution System Operators observatory 2018 Overview of the electricity distribution system in Europe","type":"article-journal"},"uris":["http://www.mendeley.com/documents/?uuid=14617f08-26ea-31b1-807d-7554d87f618a"]}],"mendeley":{"formattedCitation":"[3]","plainTextFormattedCitation":"[3]","previouslyFormattedCitation":"[3]"},"properties":{"noteIndex":0},"schema":"https://github.com/citation-style-language/schema/raw/master/csl-citation.json"}</w:instrText>
      </w:r>
      <w:r w:rsidRPr="00B303A0">
        <w:rPr>
          <w:sz w:val="20"/>
          <w:szCs w:val="20"/>
        </w:rPr>
        <w:fldChar w:fldCharType="separate"/>
      </w:r>
      <w:r w:rsidRPr="00B303A0">
        <w:rPr>
          <w:noProof/>
          <w:sz w:val="20"/>
          <w:szCs w:val="20"/>
        </w:rPr>
        <w:t>[3]</w:t>
      </w:r>
      <w:r w:rsidRPr="00B303A0">
        <w:rPr>
          <w:sz w:val="20"/>
          <w:szCs w:val="20"/>
        </w:rPr>
        <w:fldChar w:fldCharType="end"/>
      </w:r>
      <w:r w:rsidRPr="00B303A0">
        <w:rPr>
          <w:sz w:val="20"/>
          <w:szCs w:val="20"/>
        </w:rPr>
        <w:t>, do not give incentives to reduce peaks and therefore</w:t>
      </w:r>
      <w:r w:rsidR="00B303A0">
        <w:rPr>
          <w:sz w:val="20"/>
          <w:szCs w:val="20"/>
        </w:rPr>
        <w:t xml:space="preserve"> require costly network upgrades</w:t>
      </w:r>
      <w:r w:rsidRPr="00B303A0">
        <w:rPr>
          <w:sz w:val="20"/>
          <w:szCs w:val="20"/>
        </w:rPr>
        <w:t xml:space="preserve"> for electrification of end-uses.</w:t>
      </w:r>
      <w:r w:rsidR="00B303A0">
        <w:rPr>
          <w:sz w:val="20"/>
          <w:szCs w:val="20"/>
        </w:rPr>
        <w:t xml:space="preserve"> A s</w:t>
      </w:r>
      <w:r w:rsidR="00B303A0" w:rsidRPr="00B303A0">
        <w:rPr>
          <w:sz w:val="20"/>
          <w:szCs w:val="20"/>
        </w:rPr>
        <w:t>tat</w:t>
      </w:r>
      <w:r w:rsidR="00B303A0">
        <w:rPr>
          <w:sz w:val="20"/>
          <w:szCs w:val="20"/>
        </w:rPr>
        <w:t>ic capacity subscription tariff</w:t>
      </w:r>
      <w:r w:rsidR="00B303A0" w:rsidRPr="00B303A0">
        <w:rPr>
          <w:sz w:val="20"/>
          <w:szCs w:val="20"/>
        </w:rPr>
        <w:t xml:space="preserve"> </w:t>
      </w:r>
      <w:r w:rsidR="00B303A0" w:rsidRPr="00B303A0">
        <w:rPr>
          <w:sz w:val="20"/>
          <w:szCs w:val="20"/>
        </w:rPr>
        <w:fldChar w:fldCharType="begin" w:fldLock="1"/>
      </w:r>
      <w:r w:rsidR="00B303A0" w:rsidRPr="00B303A0">
        <w:rPr>
          <w:sz w:val="20"/>
          <w:szCs w:val="20"/>
        </w:rPr>
        <w:instrText>ADDIN CSL_CITATION {"citationItems":[{"id":"ITEM-1","itemData":{"DOI":"10.1016/J.APENERGY.2022.119186","ISSN":"0306-2619","author":[{"dropping-particle":"","family":"Hennig","given":"Roman J.","non-dropping-particle":"","parse-names":false,"suffix":""},{"dropping-particle":"","family":"Ribó-Pérez","given":"David","non-dropping-particle":"","parse-names":false,"suffix":""},{"dropping-particle":"","family":"Vries","given":"Laurens J.","non-dropping-particle":"de","parse-names":false,"suffix":""},{"dropping-particle":"","family":"Tindemans","given":"Simon H.","non-dropping-particle":"","parse-names":false,"suffix":""}],"container-title":"Applied Energy","id":"ITEM-1","issued":{"date-parts":[["2022","7","15"]]},"page":"119186","publisher":"Elsevier","title":"What is a good distribution network tariff?—Developing indicators for performance assessment","type":"article-journal","volume":"318"},"uris":["http://www.mendeley.com/documents/?uuid=12851b1d-9f6c-34a5-af90-a92a25619e8b"]}],"mendeley":{"formattedCitation":"[4]","plainTextFormattedCitation":"[4]","previouslyFormattedCitation":"[4]"},"properties":{"noteIndex":0},"schema":"https://github.com/citation-style-language/schema/raw/master/csl-citation.json"}</w:instrText>
      </w:r>
      <w:r w:rsidR="00B303A0" w:rsidRPr="00B303A0">
        <w:rPr>
          <w:sz w:val="20"/>
          <w:szCs w:val="20"/>
        </w:rPr>
        <w:fldChar w:fldCharType="separate"/>
      </w:r>
      <w:r w:rsidR="00B303A0" w:rsidRPr="00B303A0">
        <w:rPr>
          <w:noProof/>
          <w:sz w:val="20"/>
          <w:szCs w:val="20"/>
        </w:rPr>
        <w:t>[4]</w:t>
      </w:r>
      <w:r w:rsidR="00B303A0" w:rsidRPr="00B303A0">
        <w:rPr>
          <w:sz w:val="20"/>
          <w:szCs w:val="20"/>
        </w:rPr>
        <w:fldChar w:fldCharType="end"/>
      </w:r>
      <w:r w:rsidR="00B303A0" w:rsidRPr="00B303A0">
        <w:rPr>
          <w:sz w:val="20"/>
          <w:szCs w:val="20"/>
        </w:rPr>
        <w:t xml:space="preserve"> </w:t>
      </w:r>
      <w:r w:rsidR="004D49CE">
        <w:rPr>
          <w:sz w:val="20"/>
          <w:szCs w:val="20"/>
        </w:rPr>
        <w:t>delays</w:t>
      </w:r>
      <w:r w:rsidR="00B303A0" w:rsidRPr="00B303A0">
        <w:rPr>
          <w:sz w:val="20"/>
          <w:szCs w:val="20"/>
        </w:rPr>
        <w:t xml:space="preserve"> the need for grid upgrades but also reduce the benefits of</w:t>
      </w:r>
      <w:r w:rsidR="004D49CE">
        <w:rPr>
          <w:sz w:val="20"/>
          <w:szCs w:val="20"/>
        </w:rPr>
        <w:t xml:space="preserve"> market based prices slightly. </w:t>
      </w:r>
      <w:r w:rsidR="008159C1">
        <w:rPr>
          <w:sz w:val="20"/>
          <w:szCs w:val="20"/>
        </w:rPr>
        <w:t xml:space="preserve">The hypothetical tariff that enforces network limits while optimizing dispatch cost naturally gives the strongest incentives for investing in electrification. It can serve as a benchmark against </w:t>
      </w:r>
      <w:r w:rsidR="00786B00">
        <w:rPr>
          <w:sz w:val="20"/>
          <w:szCs w:val="20"/>
        </w:rPr>
        <w:t>which other</w:t>
      </w:r>
      <w:r w:rsidR="008159C1">
        <w:rPr>
          <w:sz w:val="20"/>
          <w:szCs w:val="20"/>
        </w:rPr>
        <w:t xml:space="preserve"> tariffs can be measured.</w:t>
      </w:r>
    </w:p>
    <w:p w14:paraId="262F3C17" w14:textId="77777777" w:rsidR="00485A81" w:rsidRPr="00072AC5" w:rsidRDefault="004C7C58" w:rsidP="008159C1">
      <w:pPr>
        <w:pStyle w:val="Titolo3"/>
        <w:spacing w:after="120"/>
        <w:ind w:left="289" w:hanging="11"/>
        <w:rPr>
          <w:sz w:val="20"/>
          <w:szCs w:val="20"/>
        </w:rPr>
      </w:pPr>
      <w:r w:rsidRPr="00072AC5">
        <w:rPr>
          <w:sz w:val="20"/>
          <w:szCs w:val="20"/>
        </w:rPr>
        <w:t xml:space="preserve">Conclusions </w:t>
      </w:r>
    </w:p>
    <w:p w14:paraId="7D20FC9E" w14:textId="77777777" w:rsidR="00485A81" w:rsidRPr="00072AC5" w:rsidRDefault="0089044C">
      <w:pPr>
        <w:ind w:left="288" w:right="904"/>
        <w:rPr>
          <w:sz w:val="20"/>
          <w:szCs w:val="20"/>
        </w:rPr>
      </w:pPr>
      <w:r w:rsidRPr="00072AC5">
        <w:rPr>
          <w:sz w:val="20"/>
          <w:szCs w:val="20"/>
        </w:rPr>
        <w:t xml:space="preserve">Residential retail rates can have a strong impact on investment incentives for low-carbon end-uses in electric grids. Smart network tariffs may be vital in order to protect network infrastructure </w:t>
      </w:r>
      <w:r w:rsidR="00731931" w:rsidRPr="00072AC5">
        <w:rPr>
          <w:sz w:val="20"/>
          <w:szCs w:val="20"/>
        </w:rPr>
        <w:t xml:space="preserve">and avoid costly network upgrades that are driven by excessive peak loads. In combination, these two measures can have a strong impact in accelerating the transition to carbon-free energy sources. </w:t>
      </w:r>
    </w:p>
    <w:p w14:paraId="7588376D" w14:textId="77777777" w:rsidR="00485A81" w:rsidRDefault="004C7C58">
      <w:pPr>
        <w:spacing w:after="0" w:line="259" w:lineRule="auto"/>
        <w:ind w:left="293" w:right="0" w:firstLine="0"/>
        <w:jc w:val="left"/>
      </w:pPr>
      <w:r>
        <w:rPr>
          <w:b/>
        </w:rPr>
        <w:t xml:space="preserve"> </w:t>
      </w:r>
    </w:p>
    <w:p w14:paraId="05C33E85" w14:textId="77777777" w:rsidR="00485A81" w:rsidRDefault="004C7C58">
      <w:pPr>
        <w:pStyle w:val="Titolo3"/>
        <w:ind w:left="288"/>
      </w:pPr>
      <w:r>
        <w:t xml:space="preserve">References </w:t>
      </w:r>
    </w:p>
    <w:p w14:paraId="2E4239C7" w14:textId="77777777" w:rsidR="00BA19CD" w:rsidRPr="00BA19CD" w:rsidRDefault="00CF6A96" w:rsidP="00BA19CD">
      <w:pPr>
        <w:widowControl w:val="0"/>
        <w:autoSpaceDE w:val="0"/>
        <w:autoSpaceDN w:val="0"/>
        <w:adjustRightInd w:val="0"/>
        <w:spacing w:after="0" w:line="240" w:lineRule="auto"/>
        <w:ind w:left="640" w:hanging="640"/>
        <w:rPr>
          <w:noProof/>
          <w:szCs w:val="24"/>
        </w:rPr>
      </w:pPr>
      <w:r>
        <w:fldChar w:fldCharType="begin" w:fldLock="1"/>
      </w:r>
      <w:r>
        <w:instrText xml:space="preserve">ADDIN Mendeley Bibliography CSL_BIBLIOGRAPHY </w:instrText>
      </w:r>
      <w:r>
        <w:fldChar w:fldCharType="separate"/>
      </w:r>
      <w:r w:rsidR="00BA19CD" w:rsidRPr="00BA19CD">
        <w:rPr>
          <w:noProof/>
          <w:szCs w:val="24"/>
        </w:rPr>
        <w:t>[1]</w:t>
      </w:r>
      <w:r w:rsidR="00BA19CD" w:rsidRPr="00BA19CD">
        <w:rPr>
          <w:noProof/>
          <w:szCs w:val="24"/>
        </w:rPr>
        <w:tab/>
        <w:t xml:space="preserve">European Commission, “A Clean Planet for all A European strategic long-term vision for a prosperous, modern, competitive and climate neutral economy,” </w:t>
      </w:r>
      <w:r w:rsidR="00BA19CD" w:rsidRPr="00BA19CD">
        <w:rPr>
          <w:i/>
          <w:iCs/>
          <w:noProof/>
          <w:szCs w:val="24"/>
        </w:rPr>
        <w:t>https://eur-lex.europa.eu/legal-content/EN/TXT/?uri=CELEX:52018DC0773</w:t>
      </w:r>
      <w:r w:rsidR="00BA19CD" w:rsidRPr="00BA19CD">
        <w:rPr>
          <w:noProof/>
          <w:szCs w:val="24"/>
        </w:rPr>
        <w:t>, 2018. [Online]. Available: https://eur-lex.europa.eu/legal-content/EN/TXT/?uri=CELEX:52018DC0773. [Accessed: 14-Apr-2020].</w:t>
      </w:r>
    </w:p>
    <w:p w14:paraId="3DAF4961" w14:textId="77777777" w:rsidR="00BA19CD" w:rsidRPr="00BA19CD" w:rsidRDefault="00BA19CD" w:rsidP="00BA19CD">
      <w:pPr>
        <w:widowControl w:val="0"/>
        <w:autoSpaceDE w:val="0"/>
        <w:autoSpaceDN w:val="0"/>
        <w:adjustRightInd w:val="0"/>
        <w:spacing w:after="0" w:line="240" w:lineRule="auto"/>
        <w:ind w:left="640" w:hanging="640"/>
        <w:rPr>
          <w:noProof/>
          <w:szCs w:val="24"/>
        </w:rPr>
      </w:pPr>
      <w:r w:rsidRPr="00BA19CD">
        <w:rPr>
          <w:noProof/>
          <w:szCs w:val="24"/>
        </w:rPr>
        <w:t>[2]</w:t>
      </w:r>
      <w:r w:rsidRPr="00BA19CD">
        <w:rPr>
          <w:noProof/>
          <w:szCs w:val="24"/>
        </w:rPr>
        <w:tab/>
        <w:t xml:space="preserve">S. Pfenninger and B. Pickering, “Calliope: a multi-scale energy systems modelling framework,” </w:t>
      </w:r>
      <w:r w:rsidRPr="00BA19CD">
        <w:rPr>
          <w:i/>
          <w:iCs/>
          <w:noProof/>
          <w:szCs w:val="24"/>
        </w:rPr>
        <w:t>J. Open Source Softw.</w:t>
      </w:r>
      <w:r w:rsidRPr="00BA19CD">
        <w:rPr>
          <w:noProof/>
          <w:szCs w:val="24"/>
        </w:rPr>
        <w:t>, vol. 3, no. 29, p. 825, Sep. 2018.</w:t>
      </w:r>
    </w:p>
    <w:p w14:paraId="089EF006" w14:textId="77777777" w:rsidR="00BA19CD" w:rsidRPr="00BA19CD" w:rsidRDefault="00BA19CD" w:rsidP="00BA19CD">
      <w:pPr>
        <w:widowControl w:val="0"/>
        <w:autoSpaceDE w:val="0"/>
        <w:autoSpaceDN w:val="0"/>
        <w:adjustRightInd w:val="0"/>
        <w:spacing w:after="0" w:line="240" w:lineRule="auto"/>
        <w:ind w:left="640" w:hanging="640"/>
        <w:rPr>
          <w:noProof/>
          <w:szCs w:val="24"/>
        </w:rPr>
      </w:pPr>
      <w:r w:rsidRPr="00BA19CD">
        <w:rPr>
          <w:noProof/>
          <w:szCs w:val="24"/>
        </w:rPr>
        <w:t>[3]</w:t>
      </w:r>
      <w:r w:rsidRPr="00BA19CD">
        <w:rPr>
          <w:noProof/>
          <w:szCs w:val="24"/>
        </w:rPr>
        <w:tab/>
        <w:t xml:space="preserve">G. Prettico and M. G. Flammini, “Distribution System Operators observatory 2018 Overview of the electricity distribution </w:t>
      </w:r>
      <w:r w:rsidRPr="00BA19CD">
        <w:rPr>
          <w:noProof/>
          <w:szCs w:val="24"/>
        </w:rPr>
        <w:lastRenderedPageBreak/>
        <w:t>system in Europe,” 2019.</w:t>
      </w:r>
    </w:p>
    <w:p w14:paraId="546ACB3A" w14:textId="77777777" w:rsidR="00BA19CD" w:rsidRPr="00BA19CD" w:rsidRDefault="00BA19CD" w:rsidP="00BA19CD">
      <w:pPr>
        <w:widowControl w:val="0"/>
        <w:autoSpaceDE w:val="0"/>
        <w:autoSpaceDN w:val="0"/>
        <w:adjustRightInd w:val="0"/>
        <w:spacing w:after="0" w:line="240" w:lineRule="auto"/>
        <w:ind w:left="640" w:hanging="640"/>
        <w:rPr>
          <w:noProof/>
        </w:rPr>
      </w:pPr>
      <w:r w:rsidRPr="00BA19CD">
        <w:rPr>
          <w:noProof/>
          <w:szCs w:val="24"/>
        </w:rPr>
        <w:t>[4]</w:t>
      </w:r>
      <w:r w:rsidRPr="00BA19CD">
        <w:rPr>
          <w:noProof/>
          <w:szCs w:val="24"/>
        </w:rPr>
        <w:tab/>
        <w:t xml:space="preserve">R. J. Hennig, D. Ribó-Pérez, L. J. de Vries, and S. H. Tindemans, “What is a good distribution network tariff?—Developing indicators for performance assessment,” </w:t>
      </w:r>
      <w:r w:rsidRPr="00BA19CD">
        <w:rPr>
          <w:i/>
          <w:iCs/>
          <w:noProof/>
          <w:szCs w:val="24"/>
        </w:rPr>
        <w:t>Appl. Energy</w:t>
      </w:r>
      <w:r w:rsidRPr="00BA19CD">
        <w:rPr>
          <w:noProof/>
          <w:szCs w:val="24"/>
        </w:rPr>
        <w:t>, vol. 318, p. 119186, Jul. 2022.</w:t>
      </w:r>
    </w:p>
    <w:p w14:paraId="200360FD" w14:textId="77777777" w:rsidR="00485A81" w:rsidRDefault="00CF6A96" w:rsidP="004D49CE">
      <w:pPr>
        <w:spacing w:after="0" w:line="259" w:lineRule="auto"/>
        <w:ind w:left="0" w:right="0" w:firstLine="0"/>
        <w:jc w:val="left"/>
      </w:pPr>
      <w:r>
        <w:fldChar w:fldCharType="end"/>
      </w:r>
    </w:p>
    <w:sectPr w:rsidR="00485A81" w:rsidSect="00913F6D">
      <w:footerReference w:type="default" r:id="rId9"/>
      <w:pgSz w:w="11900" w:h="16840"/>
      <w:pgMar w:top="1448" w:right="473" w:bottom="3675" w:left="694" w:header="567" w:footer="45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C6DD" w14:textId="77777777" w:rsidR="00FE5980" w:rsidRDefault="00FE5980" w:rsidP="001971EC">
      <w:pPr>
        <w:spacing w:after="0" w:line="240" w:lineRule="auto"/>
      </w:pPr>
      <w:r>
        <w:separator/>
      </w:r>
    </w:p>
  </w:endnote>
  <w:endnote w:type="continuationSeparator" w:id="0">
    <w:p w14:paraId="0712ACDA" w14:textId="77777777" w:rsidR="00FE5980" w:rsidRDefault="00FE5980" w:rsidP="0019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C3C8" w14:textId="45983C93" w:rsidR="001971EC" w:rsidRDefault="001971EC" w:rsidP="00913F6D">
    <w:pPr>
      <w:pStyle w:val="Pidipagina"/>
      <w:ind w:left="0" w:firstLine="0"/>
    </w:pPr>
  </w:p>
  <w:p w14:paraId="7C58A200" w14:textId="77777777" w:rsidR="00913F6D" w:rsidRDefault="00913F6D" w:rsidP="00913F6D">
    <w:pPr>
      <w:pStyle w:val="Pidipa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E8F9" w14:textId="77777777" w:rsidR="00FE5980" w:rsidRDefault="00FE5980" w:rsidP="001971EC">
      <w:pPr>
        <w:spacing w:after="0" w:line="240" w:lineRule="auto"/>
      </w:pPr>
      <w:r>
        <w:separator/>
      </w:r>
    </w:p>
  </w:footnote>
  <w:footnote w:type="continuationSeparator" w:id="0">
    <w:p w14:paraId="3ED1A9A1" w14:textId="77777777" w:rsidR="00FE5980" w:rsidRDefault="00FE5980" w:rsidP="0019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380"/>
    <w:multiLevelType w:val="hybridMultilevel"/>
    <w:tmpl w:val="739EE0AC"/>
    <w:lvl w:ilvl="0" w:tplc="04090001">
      <w:start w:val="1"/>
      <w:numFmt w:val="bullet"/>
      <w:lvlText w:val=""/>
      <w:lvlJc w:val="left"/>
      <w:pPr>
        <w:ind w:left="1013" w:hanging="360"/>
      </w:pPr>
      <w:rPr>
        <w:rFonts w:ascii="Symbol" w:hAnsi="Symbol" w:hint="default"/>
      </w:rPr>
    </w:lvl>
    <w:lvl w:ilvl="1" w:tplc="04090003">
      <w:start w:val="1"/>
      <w:numFmt w:val="bullet"/>
      <w:lvlText w:val="o"/>
      <w:lvlJc w:val="left"/>
      <w:pPr>
        <w:ind w:left="1733" w:hanging="360"/>
      </w:pPr>
      <w:rPr>
        <w:rFonts w:ascii="Courier New" w:hAnsi="Courier New" w:cs="Courier New" w:hint="default"/>
      </w:rPr>
    </w:lvl>
    <w:lvl w:ilvl="2" w:tplc="04090005">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1" w15:restartNumberingAfterBreak="0">
    <w:nsid w:val="1A281434"/>
    <w:multiLevelType w:val="hybridMultilevel"/>
    <w:tmpl w:val="73CE0BBC"/>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2" w15:restartNumberingAfterBreak="0">
    <w:nsid w:val="2846434E"/>
    <w:multiLevelType w:val="hybridMultilevel"/>
    <w:tmpl w:val="942A8E84"/>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3" w15:restartNumberingAfterBreak="0">
    <w:nsid w:val="3C18363F"/>
    <w:multiLevelType w:val="hybridMultilevel"/>
    <w:tmpl w:val="80A02356"/>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4" w15:restartNumberingAfterBreak="0">
    <w:nsid w:val="418D6DD2"/>
    <w:multiLevelType w:val="hybridMultilevel"/>
    <w:tmpl w:val="49E06E46"/>
    <w:lvl w:ilvl="0" w:tplc="0409000F">
      <w:start w:val="1"/>
      <w:numFmt w:val="decimal"/>
      <w:lvlText w:val="%1."/>
      <w:lvlJc w:val="left"/>
      <w:pPr>
        <w:ind w:left="1013" w:hanging="360"/>
      </w:p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5" w15:restartNumberingAfterBreak="0">
    <w:nsid w:val="63987C7B"/>
    <w:multiLevelType w:val="hybridMultilevel"/>
    <w:tmpl w:val="7BA290A8"/>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81"/>
    <w:rsid w:val="000064A0"/>
    <w:rsid w:val="00020CB8"/>
    <w:rsid w:val="00022E65"/>
    <w:rsid w:val="00072AC5"/>
    <w:rsid w:val="001167E4"/>
    <w:rsid w:val="001831E2"/>
    <w:rsid w:val="001971EC"/>
    <w:rsid w:val="002E5220"/>
    <w:rsid w:val="00485A81"/>
    <w:rsid w:val="004C7C58"/>
    <w:rsid w:val="004D49CE"/>
    <w:rsid w:val="00563A55"/>
    <w:rsid w:val="00576FE0"/>
    <w:rsid w:val="005D3804"/>
    <w:rsid w:val="00616B06"/>
    <w:rsid w:val="00731931"/>
    <w:rsid w:val="007839F9"/>
    <w:rsid w:val="00786B00"/>
    <w:rsid w:val="008159C1"/>
    <w:rsid w:val="0089044C"/>
    <w:rsid w:val="008D1349"/>
    <w:rsid w:val="00913F6D"/>
    <w:rsid w:val="009D42E0"/>
    <w:rsid w:val="00A401E5"/>
    <w:rsid w:val="00A5634F"/>
    <w:rsid w:val="00B0749A"/>
    <w:rsid w:val="00B303A0"/>
    <w:rsid w:val="00BA19CD"/>
    <w:rsid w:val="00BA5B8B"/>
    <w:rsid w:val="00CF6A96"/>
    <w:rsid w:val="00E01E0B"/>
    <w:rsid w:val="00EB4B65"/>
    <w:rsid w:val="00F461AE"/>
    <w:rsid w:val="00FE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867BA"/>
  <w15:docId w15:val="{DB92C7EF-ADFE-445E-AE9C-B456847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43" w:lineRule="auto"/>
      <w:ind w:left="303" w:right="911" w:hanging="10"/>
      <w:jc w:val="both"/>
    </w:pPr>
    <w:rPr>
      <w:rFonts w:ascii="Times New Roman" w:eastAsia="Times New Roman" w:hAnsi="Times New Roman" w:cs="Times New Roman"/>
      <w:color w:val="000000"/>
      <w:sz w:val="18"/>
    </w:rPr>
  </w:style>
  <w:style w:type="paragraph" w:styleId="Titolo1">
    <w:name w:val="heading 1"/>
    <w:next w:val="Normale"/>
    <w:link w:val="Titolo1Carattere"/>
    <w:uiPriority w:val="9"/>
    <w:unhideWhenUsed/>
    <w:qFormat/>
    <w:pPr>
      <w:keepNext/>
      <w:keepLines/>
      <w:spacing w:after="1"/>
      <w:ind w:left="718" w:hanging="10"/>
      <w:outlineLvl w:val="0"/>
    </w:pPr>
    <w:rPr>
      <w:rFonts w:ascii="Arial" w:eastAsia="Arial" w:hAnsi="Arial" w:cs="Arial"/>
      <w:b/>
      <w:color w:val="000000"/>
      <w:sz w:val="23"/>
    </w:rPr>
  </w:style>
  <w:style w:type="paragraph" w:styleId="Titolo2">
    <w:name w:val="heading 2"/>
    <w:next w:val="Normale"/>
    <w:link w:val="Titolo2Carattere"/>
    <w:uiPriority w:val="9"/>
    <w:unhideWhenUsed/>
    <w:qFormat/>
    <w:pPr>
      <w:keepNext/>
      <w:keepLines/>
      <w:spacing w:after="176" w:line="265" w:lineRule="auto"/>
      <w:ind w:left="10" w:hanging="10"/>
      <w:outlineLvl w:val="1"/>
    </w:pPr>
    <w:rPr>
      <w:rFonts w:ascii="Times New Roman" w:eastAsia="Times New Roman" w:hAnsi="Times New Roman" w:cs="Times New Roman"/>
      <w:color w:val="000000"/>
      <w:sz w:val="19"/>
      <w:shd w:val="clear" w:color="auto" w:fill="FFFF00"/>
    </w:rPr>
  </w:style>
  <w:style w:type="paragraph" w:styleId="Titolo3">
    <w:name w:val="heading 3"/>
    <w:next w:val="Normale"/>
    <w:link w:val="Titolo3Carattere"/>
    <w:uiPriority w:val="9"/>
    <w:unhideWhenUsed/>
    <w:qFormat/>
    <w:pPr>
      <w:keepNext/>
      <w:keepLines/>
      <w:spacing w:after="0"/>
      <w:ind w:left="303" w:hanging="10"/>
      <w:outlineLvl w:val="2"/>
    </w:pPr>
    <w:rPr>
      <w:rFonts w:ascii="Times New Roman" w:eastAsia="Times New Roman" w:hAnsi="Times New Roman" w:cs="Times New Roman"/>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imes New Roman" w:eastAsia="Times New Roman" w:hAnsi="Times New Roman" w:cs="Times New Roman"/>
      <w:b/>
      <w:color w:val="000000"/>
      <w:sz w:val="18"/>
    </w:rPr>
  </w:style>
  <w:style w:type="character" w:customStyle="1" w:styleId="Titolo1Carattere">
    <w:name w:val="Titolo 1 Carattere"/>
    <w:link w:val="Titolo1"/>
    <w:rPr>
      <w:rFonts w:ascii="Arial" w:eastAsia="Arial" w:hAnsi="Arial" w:cs="Arial"/>
      <w:b/>
      <w:color w:val="000000"/>
      <w:sz w:val="23"/>
    </w:rPr>
  </w:style>
  <w:style w:type="character" w:customStyle="1" w:styleId="Titolo2Carattere">
    <w:name w:val="Titolo 2 Carattere"/>
    <w:link w:val="Titolo2"/>
    <w:rPr>
      <w:rFonts w:ascii="Times New Roman" w:eastAsia="Times New Roman" w:hAnsi="Times New Roman" w:cs="Times New Roman"/>
      <w:color w:val="000000"/>
      <w:sz w:val="19"/>
      <w:shd w:val="clear" w:color="auto" w:fill="FFFF00"/>
    </w:rPr>
  </w:style>
  <w:style w:type="character" w:styleId="Collegamentoipertestuale">
    <w:name w:val="Hyperlink"/>
    <w:basedOn w:val="Carpredefinitoparagrafo"/>
    <w:uiPriority w:val="99"/>
    <w:unhideWhenUsed/>
    <w:rsid w:val="00A5634F"/>
    <w:rPr>
      <w:color w:val="0563C1" w:themeColor="hyperlink"/>
      <w:u w:val="single"/>
    </w:rPr>
  </w:style>
  <w:style w:type="paragraph" w:styleId="Paragrafoelenco">
    <w:name w:val="List Paragraph"/>
    <w:basedOn w:val="Normale"/>
    <w:uiPriority w:val="34"/>
    <w:qFormat/>
    <w:rsid w:val="000064A0"/>
    <w:pPr>
      <w:ind w:left="720"/>
      <w:contextualSpacing/>
    </w:pPr>
  </w:style>
  <w:style w:type="character" w:styleId="Rimandocommento">
    <w:name w:val="annotation reference"/>
    <w:basedOn w:val="Carpredefinitoparagrafo"/>
    <w:uiPriority w:val="99"/>
    <w:semiHidden/>
    <w:unhideWhenUsed/>
    <w:rsid w:val="00BA5B8B"/>
    <w:rPr>
      <w:sz w:val="16"/>
      <w:szCs w:val="16"/>
    </w:rPr>
  </w:style>
  <w:style w:type="paragraph" w:styleId="Testocommento">
    <w:name w:val="annotation text"/>
    <w:basedOn w:val="Normale"/>
    <w:link w:val="TestocommentoCarattere"/>
    <w:uiPriority w:val="99"/>
    <w:semiHidden/>
    <w:unhideWhenUsed/>
    <w:rsid w:val="00BA5B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A5B8B"/>
    <w:rPr>
      <w:rFonts w:ascii="Times New Roman" w:eastAsia="Times New Roman"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BA5B8B"/>
    <w:rPr>
      <w:b/>
      <w:bCs/>
    </w:rPr>
  </w:style>
  <w:style w:type="character" w:customStyle="1" w:styleId="SoggettocommentoCarattere">
    <w:name w:val="Soggetto commento Carattere"/>
    <w:basedOn w:val="TestocommentoCarattere"/>
    <w:link w:val="Soggettocommento"/>
    <w:uiPriority w:val="99"/>
    <w:semiHidden/>
    <w:rsid w:val="00BA5B8B"/>
    <w:rPr>
      <w:rFonts w:ascii="Times New Roman" w:eastAsia="Times New Roman" w:hAnsi="Times New Roman" w:cs="Times New Roman"/>
      <w:b/>
      <w:bCs/>
      <w:color w:val="000000"/>
      <w:sz w:val="20"/>
      <w:szCs w:val="20"/>
    </w:rPr>
  </w:style>
  <w:style w:type="paragraph" w:styleId="Testofumetto">
    <w:name w:val="Balloon Text"/>
    <w:basedOn w:val="Normale"/>
    <w:link w:val="TestofumettoCarattere"/>
    <w:uiPriority w:val="99"/>
    <w:semiHidden/>
    <w:unhideWhenUsed/>
    <w:rsid w:val="00BA5B8B"/>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BA5B8B"/>
    <w:rPr>
      <w:rFonts w:ascii="Segoe UI" w:eastAsia="Times New Roman" w:hAnsi="Segoe UI" w:cs="Segoe UI"/>
      <w:color w:val="000000"/>
      <w:sz w:val="18"/>
      <w:szCs w:val="18"/>
    </w:rPr>
  </w:style>
  <w:style w:type="paragraph" w:styleId="Intestazione">
    <w:name w:val="header"/>
    <w:basedOn w:val="Normale"/>
    <w:link w:val="IntestazioneCarattere"/>
    <w:uiPriority w:val="99"/>
    <w:unhideWhenUsed/>
    <w:rsid w:val="001971E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1971EC"/>
    <w:rPr>
      <w:rFonts w:ascii="Times New Roman" w:eastAsia="Times New Roman" w:hAnsi="Times New Roman" w:cs="Times New Roman"/>
      <w:color w:val="000000"/>
      <w:sz w:val="18"/>
    </w:rPr>
  </w:style>
  <w:style w:type="paragraph" w:styleId="Pidipagina">
    <w:name w:val="footer"/>
    <w:basedOn w:val="Normale"/>
    <w:link w:val="PidipaginaCarattere"/>
    <w:uiPriority w:val="99"/>
    <w:unhideWhenUsed/>
    <w:rsid w:val="001971E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1971EC"/>
    <w:rPr>
      <w:rFonts w:ascii="Times New Roman" w:eastAsia="Times New Roman" w:hAnsi="Times New Roman" w:cs="Times New Roman"/>
      <w:color w:val="000000"/>
      <w:sz w:val="18"/>
    </w:rPr>
  </w:style>
  <w:style w:type="character" w:styleId="Testosegnaposto">
    <w:name w:val="Placeholder Text"/>
    <w:basedOn w:val="Carpredefinitoparagrafo"/>
    <w:uiPriority w:val="99"/>
    <w:semiHidden/>
    <w:rsid w:val="00B303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j.hennig@tudelf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1962-2B26-4A55-A066-FBAEBA68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2275</Words>
  <Characters>12972</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Abstract Template IAEE 2011</vt:lpstr>
      <vt:lpstr>Abstract Template IAEE 2011</vt:lpstr>
    </vt:vector>
  </TitlesOfParts>
  <Company>TU Delft</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IAEE 2011</dc:title>
  <dc:subject/>
  <dc:creator>utente</dc:creator>
  <cp:keywords/>
  <cp:lastModifiedBy>segreteria</cp:lastModifiedBy>
  <cp:revision>2</cp:revision>
  <dcterms:created xsi:type="dcterms:W3CDTF">2023-04-04T13:27:00Z</dcterms:created>
  <dcterms:modified xsi:type="dcterms:W3CDTF">2023-04-04T13:27:00Z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8b3a7ba6-7c4a-365d-8782-a9dae70f4a1e</vt:lpwstr>
  </property>
  <property fmtid="{D5CDD505-2E9C-101B-9397-08002B2CF9AE}" pid="24" name="Mendeley Citation Style_1">
    <vt:lpwstr>http://www.zotero.org/styles/ieee</vt:lpwstr>
  </property>
</Properties>
</file>