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829E" w14:textId="0F22FEC5" w:rsidR="00777858" w:rsidRDefault="00D73B2F" w:rsidP="00432B5A">
      <w:pPr>
        <w:pStyle w:val="Titolo3"/>
        <w:rPr>
          <w:rStyle w:val="1GrobuchstabenChar"/>
          <w:i/>
          <w:lang w:val="en-US"/>
        </w:rPr>
      </w:pPr>
      <w:bookmarkStart w:id="0" w:name="OLE_LINK18"/>
      <w:bookmarkStart w:id="1" w:name="_GoBack"/>
      <w:bookmarkEnd w:id="1"/>
      <w:r>
        <w:rPr>
          <w:b/>
          <w:bCs/>
          <w:i/>
          <w:caps/>
          <w:sz w:val="28"/>
          <w:szCs w:val="28"/>
        </w:rPr>
        <w:t>EnDowment or Skills? What's driving corporate performance in eU</w:t>
      </w:r>
      <w:r w:rsidR="00E7230B" w:rsidRPr="00315BA8">
        <w:rPr>
          <w:b/>
          <w:bCs/>
          <w:i/>
          <w:caps/>
          <w:sz w:val="28"/>
          <w:szCs w:val="28"/>
        </w:rPr>
        <w:t xml:space="preserve"> emissions trading </w:t>
      </w:r>
    </w:p>
    <w:p w14:paraId="73F99075" w14:textId="77777777" w:rsidR="00777858" w:rsidRPr="00777858" w:rsidRDefault="00777858" w:rsidP="00777858">
      <w:pPr>
        <w:rPr>
          <w:lang w:val="en-US"/>
        </w:rPr>
      </w:pPr>
    </w:p>
    <w:p w14:paraId="75341627" w14:textId="77777777" w:rsidR="003B10C9" w:rsidRDefault="00BB3184" w:rsidP="00BB3184">
      <w:pPr>
        <w:pStyle w:val="Titolo3"/>
        <w:jc w:val="right"/>
        <w:rPr>
          <w:rStyle w:val="1KursivChar"/>
          <w:b w:val="0"/>
          <w:i w:val="0"/>
          <w:sz w:val="20"/>
          <w:szCs w:val="20"/>
          <w:lang w:val="en-US"/>
        </w:rPr>
      </w:pPr>
      <w:r w:rsidRPr="00605E40">
        <w:rPr>
          <w:rStyle w:val="1KursivChar"/>
          <w:b w:val="0"/>
          <w:i w:val="0"/>
          <w:sz w:val="20"/>
          <w:szCs w:val="20"/>
          <w:lang w:val="en-US"/>
        </w:rPr>
        <w:t xml:space="preserve">Sascha Lehmann, Fraunhofer Institute for Systems and Innovation Research ISI, </w:t>
      </w:r>
    </w:p>
    <w:p w14:paraId="64BC565A" w14:textId="21C7C505" w:rsidR="00BB3184" w:rsidRPr="00FA75C1" w:rsidRDefault="00BB3184" w:rsidP="00BB3184">
      <w:pPr>
        <w:pStyle w:val="Titolo3"/>
        <w:jc w:val="right"/>
      </w:pPr>
      <w:r w:rsidRPr="00FA75C1">
        <w:rPr>
          <w:rStyle w:val="1KursivChar"/>
          <w:b w:val="0"/>
          <w:i w:val="0"/>
          <w:sz w:val="20"/>
          <w:szCs w:val="20"/>
          <w:lang w:val="en-US"/>
        </w:rPr>
        <w:t xml:space="preserve">Phone </w:t>
      </w:r>
      <w:r w:rsidR="00FA1093" w:rsidRPr="00FA75C1">
        <w:rPr>
          <w:bCs/>
          <w:iCs/>
        </w:rPr>
        <w:t>+49 7216809</w:t>
      </w:r>
      <w:r w:rsidRPr="00FA75C1">
        <w:rPr>
          <w:bCs/>
          <w:iCs/>
        </w:rPr>
        <w:t>128,</w:t>
      </w:r>
      <w:r w:rsidR="003B10C9" w:rsidRPr="00FA75C1">
        <w:rPr>
          <w:bCs/>
          <w:iCs/>
        </w:rPr>
        <w:t xml:space="preserve"> </w:t>
      </w:r>
      <w:r w:rsidRPr="00FA75C1">
        <w:rPr>
          <w:bCs/>
          <w:iCs/>
        </w:rPr>
        <w:t xml:space="preserve">E-mail: </w:t>
      </w:r>
      <w:hyperlink r:id="rId7" w:history="1">
        <w:r w:rsidRPr="00FA75C1">
          <w:rPr>
            <w:rStyle w:val="Collegamentoipertestuale"/>
            <w:bCs/>
            <w:iCs/>
          </w:rPr>
          <w:t>sascha.lehmann@isi.fraunhofer.de</w:t>
        </w:r>
      </w:hyperlink>
    </w:p>
    <w:p w14:paraId="3B8528A4" w14:textId="77777777" w:rsidR="00410434" w:rsidRDefault="00410434" w:rsidP="00410434">
      <w:pPr>
        <w:pStyle w:val="Titolo3"/>
        <w:jc w:val="right"/>
        <w:rPr>
          <w:rStyle w:val="1KursivChar"/>
          <w:b w:val="0"/>
          <w:i w:val="0"/>
          <w:sz w:val="20"/>
          <w:szCs w:val="20"/>
          <w:lang w:val="en-US"/>
        </w:rPr>
      </w:pPr>
      <w:r w:rsidRPr="00605E40">
        <w:rPr>
          <w:rStyle w:val="1KursivChar"/>
          <w:b w:val="0"/>
          <w:i w:val="0"/>
          <w:sz w:val="20"/>
          <w:szCs w:val="20"/>
          <w:lang w:val="en-US"/>
        </w:rPr>
        <w:t xml:space="preserve">Joachim Schleich, Fraunhofer Institute for Systems and Innovation Research ISI, </w:t>
      </w:r>
    </w:p>
    <w:p w14:paraId="0A75DC20" w14:textId="3D504D4E" w:rsidR="00410434" w:rsidRPr="00410434" w:rsidRDefault="00410434" w:rsidP="00410434">
      <w:pPr>
        <w:pStyle w:val="Titolo3"/>
        <w:jc w:val="right"/>
        <w:rPr>
          <w:lang w:val="fr-FR"/>
        </w:rPr>
      </w:pPr>
      <w:r w:rsidRPr="00410434">
        <w:rPr>
          <w:rStyle w:val="1KursivChar"/>
          <w:b w:val="0"/>
          <w:i w:val="0"/>
          <w:sz w:val="20"/>
          <w:szCs w:val="20"/>
          <w:lang w:val="fr-FR"/>
        </w:rPr>
        <w:t xml:space="preserve">Phone </w:t>
      </w:r>
      <w:r w:rsidRPr="00410434">
        <w:rPr>
          <w:bCs/>
          <w:iCs/>
          <w:lang w:val="fr-FR"/>
        </w:rPr>
        <w:t>+49 7216809</w:t>
      </w:r>
      <w:r>
        <w:rPr>
          <w:bCs/>
          <w:iCs/>
          <w:lang w:val="fr-FR"/>
        </w:rPr>
        <w:t>-0</w:t>
      </w:r>
      <w:r w:rsidRPr="00410434">
        <w:rPr>
          <w:bCs/>
          <w:iCs/>
          <w:lang w:val="fr-FR"/>
        </w:rPr>
        <w:t>, E-mail</w:t>
      </w:r>
      <w:r>
        <w:rPr>
          <w:bCs/>
          <w:iCs/>
          <w:lang w:val="fr-FR"/>
        </w:rPr>
        <w:t xml:space="preserve">: </w:t>
      </w:r>
      <w:hyperlink r:id="rId8" w:history="1">
        <w:r w:rsidRPr="007D765B">
          <w:rPr>
            <w:rStyle w:val="Collegamentoipertestuale"/>
            <w:bCs/>
            <w:iCs/>
            <w:lang w:val="fr-FR"/>
          </w:rPr>
          <w:t>joachim.schleich@isi.fraunhofer.de</w:t>
        </w:r>
      </w:hyperlink>
    </w:p>
    <w:p w14:paraId="27F4205E" w14:textId="2968BA71" w:rsidR="00FE67A6" w:rsidRDefault="00FE67A6" w:rsidP="00FE67A6">
      <w:pPr>
        <w:pStyle w:val="Titolo3"/>
        <w:jc w:val="right"/>
      </w:pPr>
      <w:r w:rsidRPr="00FA1093">
        <w:t>Jonatan Pinkse, Manchester Business School, University of Manchester</w:t>
      </w:r>
      <w:r>
        <w:t>,</w:t>
      </w:r>
    </w:p>
    <w:p w14:paraId="5B8A7370" w14:textId="77777777" w:rsidR="00FE67A6" w:rsidRPr="00823E5E" w:rsidRDefault="00FE67A6" w:rsidP="00FE67A6">
      <w:pPr>
        <w:jc w:val="right"/>
        <w:rPr>
          <w:noProof/>
          <w:sz w:val="20"/>
          <w:szCs w:val="20"/>
          <w:lang w:val="fr-FR"/>
        </w:rPr>
      </w:pPr>
      <w:r w:rsidRPr="00823E5E">
        <w:rPr>
          <w:rStyle w:val="1KursivChar"/>
          <w:b w:val="0"/>
          <w:i w:val="0"/>
          <w:sz w:val="20"/>
          <w:szCs w:val="20"/>
          <w:lang w:val="fr-FR"/>
        </w:rPr>
        <w:t>Phone +44 161</w:t>
      </w:r>
      <w:r>
        <w:rPr>
          <w:rStyle w:val="1KursivChar"/>
          <w:b w:val="0"/>
          <w:i w:val="0"/>
          <w:sz w:val="20"/>
          <w:szCs w:val="20"/>
          <w:lang w:val="fr-FR"/>
        </w:rPr>
        <w:t>275</w:t>
      </w:r>
      <w:r w:rsidRPr="00823E5E">
        <w:rPr>
          <w:rStyle w:val="1KursivChar"/>
          <w:b w:val="0"/>
          <w:i w:val="0"/>
          <w:sz w:val="20"/>
          <w:szCs w:val="20"/>
          <w:lang w:val="fr-FR"/>
        </w:rPr>
        <w:t>7375, E-mail:</w:t>
      </w:r>
      <w:r w:rsidRPr="00823E5E">
        <w:rPr>
          <w:lang w:val="fr-FR"/>
        </w:rPr>
        <w:t xml:space="preserve"> </w:t>
      </w:r>
      <w:hyperlink r:id="rId9" w:history="1">
        <w:r w:rsidRPr="00823E5E">
          <w:rPr>
            <w:rStyle w:val="Collegamentoipertestuale"/>
            <w:noProof/>
            <w:sz w:val="20"/>
            <w:szCs w:val="20"/>
            <w:lang w:val="fr-FR"/>
          </w:rPr>
          <w:t>jonatan.pinkse@manchester.ac.uk</w:t>
        </w:r>
      </w:hyperlink>
    </w:p>
    <w:p w14:paraId="3EC2B17B" w14:textId="7003BEAD" w:rsidR="00FA1093" w:rsidRPr="00D73B2F" w:rsidRDefault="00394222" w:rsidP="00132F8D">
      <w:pPr>
        <w:pStyle w:val="Titolo3"/>
        <w:jc w:val="right"/>
      </w:pPr>
      <w:r w:rsidRPr="00605E40">
        <w:br/>
      </w:r>
      <w:bookmarkEnd w:id="0"/>
    </w:p>
    <w:p w14:paraId="5D5D592C" w14:textId="77777777" w:rsidR="00394222" w:rsidRPr="00713DEE" w:rsidRDefault="00394222" w:rsidP="00394222">
      <w:pPr>
        <w:pStyle w:val="Titolo4"/>
        <w:rPr>
          <w:b/>
          <w:noProof/>
          <w:lang w:val="en-US"/>
        </w:rPr>
      </w:pPr>
      <w:r w:rsidRPr="00713DEE">
        <w:rPr>
          <w:b/>
          <w:noProof/>
          <w:lang w:val="en-US"/>
        </w:rPr>
        <w:t>Overview</w:t>
      </w:r>
    </w:p>
    <w:p w14:paraId="2C26BF38" w14:textId="5E111CF2" w:rsidR="004657A0" w:rsidRPr="000C5764" w:rsidRDefault="00B8786E" w:rsidP="000C5764">
      <w:pPr>
        <w:jc w:val="both"/>
        <w:rPr>
          <w:noProof/>
          <w:sz w:val="20"/>
          <w:szCs w:val="20"/>
          <w:lang w:val="en-US"/>
        </w:rPr>
      </w:pPr>
      <w:r w:rsidRPr="000C5764">
        <w:rPr>
          <w:noProof/>
          <w:sz w:val="20"/>
          <w:szCs w:val="20"/>
          <w:lang w:val="en-US"/>
        </w:rPr>
        <w:t xml:space="preserve">Since the start of the European Union Emissions Trading Scheme (EU ETS) in 2005, emissions trading has become a legitimate practice for business to deal with climate change. The EU ETS has since grown in terms of countries, greenhouse gases and activities covered by the system, and a considerable number of </w:t>
      </w:r>
      <w:r w:rsidR="000C5764" w:rsidRPr="000C5764">
        <w:rPr>
          <w:noProof/>
          <w:sz w:val="20"/>
          <w:szCs w:val="20"/>
          <w:lang w:val="en-US"/>
        </w:rPr>
        <w:t>companies</w:t>
      </w:r>
      <w:r w:rsidRPr="000C5764">
        <w:rPr>
          <w:noProof/>
          <w:sz w:val="20"/>
          <w:szCs w:val="20"/>
          <w:lang w:val="en-US"/>
        </w:rPr>
        <w:t xml:space="preserve"> have become active participants in the </w:t>
      </w:r>
      <w:r w:rsidR="00A25202" w:rsidRPr="000C5764">
        <w:rPr>
          <w:noProof/>
          <w:sz w:val="20"/>
          <w:szCs w:val="20"/>
          <w:lang w:val="en-US"/>
        </w:rPr>
        <w:t>market for carbon allowances.</w:t>
      </w:r>
    </w:p>
    <w:p w14:paraId="47419996" w14:textId="77777777" w:rsidR="00BD627C" w:rsidRDefault="00BD627C" w:rsidP="000C5764">
      <w:pPr>
        <w:jc w:val="both"/>
        <w:rPr>
          <w:noProof/>
          <w:sz w:val="20"/>
          <w:szCs w:val="20"/>
          <w:lang w:val="en-US"/>
        </w:rPr>
      </w:pPr>
    </w:p>
    <w:p w14:paraId="04EABCFC" w14:textId="1C2E82D1" w:rsidR="000B0C75" w:rsidRDefault="00AD76B8" w:rsidP="000C5764">
      <w:pPr>
        <w:jc w:val="both"/>
        <w:rPr>
          <w:noProof/>
          <w:sz w:val="20"/>
          <w:szCs w:val="20"/>
          <w:lang w:val="en-US"/>
        </w:rPr>
      </w:pPr>
      <w:r>
        <w:rPr>
          <w:noProof/>
          <w:sz w:val="20"/>
          <w:szCs w:val="20"/>
          <w:lang w:val="en-US"/>
        </w:rPr>
        <w:t>In this paper,</w:t>
      </w:r>
      <w:r w:rsidR="00021131" w:rsidRPr="00021131">
        <w:rPr>
          <w:noProof/>
          <w:sz w:val="20"/>
          <w:szCs w:val="20"/>
          <w:lang w:val="en-US"/>
        </w:rPr>
        <w:t xml:space="preserve"> we analyze </w:t>
      </w:r>
      <w:r w:rsidR="003650DE">
        <w:rPr>
          <w:noProof/>
          <w:sz w:val="20"/>
          <w:szCs w:val="20"/>
          <w:lang w:val="en-US"/>
        </w:rPr>
        <w:t xml:space="preserve">the factors related with corporate trading performance in the EU ETS. </w:t>
      </w:r>
      <w:r w:rsidR="00021131">
        <w:rPr>
          <w:noProof/>
          <w:sz w:val="20"/>
          <w:szCs w:val="20"/>
          <w:lang w:val="en-US"/>
        </w:rPr>
        <w:t>O</w:t>
      </w:r>
      <w:r w:rsidR="00B62E4F">
        <w:rPr>
          <w:noProof/>
          <w:sz w:val="20"/>
          <w:szCs w:val="20"/>
          <w:lang w:val="en-US"/>
        </w:rPr>
        <w:t>nly a f</w:t>
      </w:r>
      <w:r w:rsidR="00D73FCC" w:rsidRPr="00D73FCC">
        <w:rPr>
          <w:noProof/>
          <w:sz w:val="20"/>
          <w:szCs w:val="20"/>
          <w:lang w:val="en-US"/>
        </w:rPr>
        <w:t>ew papers have explored the factors related to companies' trading success</w:t>
      </w:r>
      <w:r w:rsidR="003650DE">
        <w:rPr>
          <w:noProof/>
          <w:sz w:val="20"/>
          <w:szCs w:val="20"/>
          <w:lang w:val="en-US"/>
        </w:rPr>
        <w:t>.</w:t>
      </w:r>
      <w:r w:rsidR="00D73FCC" w:rsidRPr="00D73FCC">
        <w:rPr>
          <w:noProof/>
          <w:sz w:val="20"/>
          <w:szCs w:val="20"/>
          <w:lang w:val="en-US"/>
        </w:rPr>
        <w:t xml:space="preserve"> Cludius (2018) and Liu et al. (2017) both find that </w:t>
      </w:r>
      <w:r w:rsidR="003650DE">
        <w:rPr>
          <w:noProof/>
          <w:sz w:val="20"/>
          <w:szCs w:val="20"/>
          <w:lang w:val="en-US"/>
        </w:rPr>
        <w:t xml:space="preserve">trading </w:t>
      </w:r>
      <w:r w:rsidR="00DA6409">
        <w:rPr>
          <w:noProof/>
          <w:sz w:val="20"/>
          <w:szCs w:val="20"/>
          <w:lang w:val="en-US"/>
        </w:rPr>
        <w:t xml:space="preserve">success is </w:t>
      </w:r>
      <w:r w:rsidR="003650DE">
        <w:rPr>
          <w:noProof/>
          <w:sz w:val="20"/>
          <w:szCs w:val="20"/>
          <w:lang w:val="en-US"/>
        </w:rPr>
        <w:t>positively related with the level of company emissions and with its</w:t>
      </w:r>
      <w:r w:rsidR="003650DE" w:rsidRPr="00D73FCC">
        <w:rPr>
          <w:noProof/>
          <w:sz w:val="20"/>
          <w:szCs w:val="20"/>
          <w:lang w:val="en-US"/>
        </w:rPr>
        <w:t xml:space="preserve"> </w:t>
      </w:r>
      <w:r w:rsidR="00D73FCC" w:rsidRPr="00D73FCC">
        <w:rPr>
          <w:noProof/>
          <w:sz w:val="20"/>
          <w:szCs w:val="20"/>
          <w:lang w:val="en-US"/>
        </w:rPr>
        <w:t>net position</w:t>
      </w:r>
      <w:r w:rsidR="003650DE">
        <w:rPr>
          <w:noProof/>
          <w:sz w:val="20"/>
          <w:szCs w:val="20"/>
          <w:lang w:val="en-US"/>
        </w:rPr>
        <w:t>, i.e. the difference between the amount of allowances allocated for free and verified emissions.</w:t>
      </w:r>
      <w:r w:rsidR="00D73FCC" w:rsidRPr="00D73FCC">
        <w:rPr>
          <w:noProof/>
          <w:sz w:val="20"/>
          <w:szCs w:val="20"/>
          <w:lang w:val="en-US"/>
        </w:rPr>
        <w:t xml:space="preserve"> In addition, Cludius (2018) finds that </w:t>
      </w:r>
      <w:r w:rsidR="00DA6409">
        <w:rPr>
          <w:noProof/>
          <w:sz w:val="20"/>
          <w:szCs w:val="20"/>
          <w:lang w:val="en-US"/>
        </w:rPr>
        <w:t xml:space="preserve">trading success is related with </w:t>
      </w:r>
      <w:r w:rsidR="00F55845">
        <w:rPr>
          <w:noProof/>
          <w:sz w:val="20"/>
          <w:szCs w:val="20"/>
          <w:lang w:val="en-US"/>
        </w:rPr>
        <w:t>company</w:t>
      </w:r>
      <w:r w:rsidR="00D73FCC" w:rsidRPr="00D73FCC">
        <w:rPr>
          <w:noProof/>
          <w:sz w:val="20"/>
          <w:szCs w:val="20"/>
          <w:lang w:val="en-US"/>
        </w:rPr>
        <w:t xml:space="preserve"> characteristics such as size. Guo et al. (2020) finds that companies with larger emissions reductions were more successful. </w:t>
      </w:r>
      <w:r w:rsidR="00831D54">
        <w:rPr>
          <w:noProof/>
          <w:sz w:val="20"/>
          <w:szCs w:val="20"/>
          <w:lang w:val="en-US"/>
        </w:rPr>
        <w:t xml:space="preserve">More generally, Abrell et al. (2021) find that participaton in emissions trading and trading volume are </w:t>
      </w:r>
      <w:r w:rsidR="00831D54" w:rsidRPr="00831D54">
        <w:rPr>
          <w:noProof/>
          <w:sz w:val="20"/>
          <w:szCs w:val="20"/>
          <w:lang w:val="en-US"/>
        </w:rPr>
        <w:t>related to the size of a company, its net position</w:t>
      </w:r>
      <w:r w:rsidR="00831D54">
        <w:rPr>
          <w:noProof/>
          <w:sz w:val="20"/>
          <w:szCs w:val="20"/>
          <w:lang w:val="en-US"/>
        </w:rPr>
        <w:t>,</w:t>
      </w:r>
      <w:r w:rsidR="00831D54" w:rsidRPr="00831D54">
        <w:rPr>
          <w:noProof/>
          <w:sz w:val="20"/>
          <w:szCs w:val="20"/>
          <w:lang w:val="en-US"/>
        </w:rPr>
        <w:t xml:space="preserve"> its sector affiliation, </w:t>
      </w:r>
      <w:r w:rsidR="00831D54">
        <w:rPr>
          <w:noProof/>
          <w:sz w:val="20"/>
          <w:szCs w:val="20"/>
          <w:lang w:val="en-US"/>
        </w:rPr>
        <w:t xml:space="preserve">and </w:t>
      </w:r>
      <w:r w:rsidR="00831D54" w:rsidRPr="00831D54">
        <w:rPr>
          <w:noProof/>
          <w:sz w:val="20"/>
          <w:szCs w:val="20"/>
          <w:lang w:val="en-US"/>
        </w:rPr>
        <w:t xml:space="preserve">productivity. </w:t>
      </w:r>
      <w:r w:rsidR="001C1126">
        <w:rPr>
          <w:noProof/>
          <w:sz w:val="20"/>
          <w:szCs w:val="20"/>
          <w:lang w:val="en-US"/>
        </w:rPr>
        <w:t>Our</w:t>
      </w:r>
      <w:r w:rsidR="00CB48BF" w:rsidRPr="00CB48BF">
        <w:rPr>
          <w:noProof/>
          <w:sz w:val="20"/>
          <w:szCs w:val="20"/>
          <w:lang w:val="en-US"/>
        </w:rPr>
        <w:t xml:space="preserve"> paper extends this literature by examining the extent to which trading success is explained not only by free allocation</w:t>
      </w:r>
      <w:r w:rsidR="001C1126">
        <w:rPr>
          <w:noProof/>
          <w:sz w:val="20"/>
          <w:szCs w:val="20"/>
          <w:lang w:val="en-US"/>
        </w:rPr>
        <w:t>, level of emissions or company characteristics</w:t>
      </w:r>
      <w:r w:rsidR="00CB48BF" w:rsidRPr="00CB48BF">
        <w:rPr>
          <w:noProof/>
          <w:sz w:val="20"/>
          <w:szCs w:val="20"/>
          <w:lang w:val="en-US"/>
        </w:rPr>
        <w:t xml:space="preserve"> but also by strategic </w:t>
      </w:r>
      <w:r w:rsidR="001C1126">
        <w:rPr>
          <w:noProof/>
          <w:sz w:val="20"/>
          <w:szCs w:val="20"/>
          <w:lang w:val="en-US"/>
        </w:rPr>
        <w:t>and</w:t>
      </w:r>
      <w:r w:rsidR="00CB48BF" w:rsidRPr="00CB48BF">
        <w:rPr>
          <w:noProof/>
          <w:sz w:val="20"/>
          <w:szCs w:val="20"/>
          <w:lang w:val="en-US"/>
        </w:rPr>
        <w:t xml:space="preserve"> structural skills.</w:t>
      </w:r>
      <w:r w:rsidR="004D6362">
        <w:rPr>
          <w:noProof/>
          <w:sz w:val="20"/>
          <w:szCs w:val="20"/>
          <w:lang w:val="en-US"/>
        </w:rPr>
        <w:t xml:space="preserve"> In particular, we investigate whether </w:t>
      </w:r>
      <w:r w:rsidR="004D6362" w:rsidRPr="004D6362">
        <w:rPr>
          <w:noProof/>
          <w:sz w:val="20"/>
          <w:szCs w:val="20"/>
          <w:lang w:val="en-US"/>
        </w:rPr>
        <w:t>companies bank allowances efficiently</w:t>
      </w:r>
      <w:r w:rsidR="00715D12">
        <w:rPr>
          <w:noProof/>
          <w:sz w:val="20"/>
          <w:szCs w:val="20"/>
          <w:lang w:val="en-US"/>
        </w:rPr>
        <w:t xml:space="preserve">, i.e. do they </w:t>
      </w:r>
      <w:r w:rsidR="00715D12" w:rsidRPr="00715D12">
        <w:rPr>
          <w:noProof/>
          <w:sz w:val="20"/>
          <w:szCs w:val="20"/>
          <w:lang w:val="en-US"/>
        </w:rPr>
        <w:t xml:space="preserve">adequately take into account the opportunity costs of selling </w:t>
      </w:r>
      <w:r w:rsidR="00715D12">
        <w:rPr>
          <w:noProof/>
          <w:sz w:val="20"/>
          <w:szCs w:val="20"/>
          <w:lang w:val="en-US"/>
        </w:rPr>
        <w:t xml:space="preserve">allowances on the market </w:t>
      </w:r>
      <w:r w:rsidR="00715D12" w:rsidRPr="00715D12">
        <w:rPr>
          <w:noProof/>
          <w:sz w:val="20"/>
          <w:szCs w:val="20"/>
          <w:lang w:val="en-US"/>
        </w:rPr>
        <w:t>when they decide on the number of banked allowances to transfer into future periods</w:t>
      </w:r>
      <w:r w:rsidR="00715D12">
        <w:rPr>
          <w:noProof/>
          <w:sz w:val="20"/>
          <w:szCs w:val="20"/>
          <w:lang w:val="en-US"/>
        </w:rPr>
        <w:t xml:space="preserve">. </w:t>
      </w:r>
    </w:p>
    <w:p w14:paraId="348275D6" w14:textId="77777777" w:rsidR="00394222" w:rsidRPr="00713DEE" w:rsidRDefault="00394222" w:rsidP="00394222">
      <w:pPr>
        <w:pStyle w:val="Titolo4"/>
        <w:rPr>
          <w:b/>
          <w:noProof/>
          <w:lang w:val="en-US"/>
        </w:rPr>
      </w:pPr>
      <w:r w:rsidRPr="00713DEE">
        <w:rPr>
          <w:b/>
          <w:noProof/>
          <w:lang w:val="en-US"/>
        </w:rPr>
        <w:t>Methods</w:t>
      </w:r>
    </w:p>
    <w:p w14:paraId="458ED8AA" w14:textId="5737F7CE" w:rsidR="00555AE3" w:rsidRDefault="00CC276D" w:rsidP="003B0376">
      <w:pPr>
        <w:jc w:val="both"/>
        <w:rPr>
          <w:noProof/>
          <w:sz w:val="20"/>
          <w:szCs w:val="20"/>
          <w:lang w:val="en-US"/>
        </w:rPr>
      </w:pPr>
      <w:r>
        <w:rPr>
          <w:noProof/>
          <w:sz w:val="20"/>
          <w:szCs w:val="20"/>
          <w:lang w:val="en-US"/>
        </w:rPr>
        <w:t xml:space="preserve">We employ </w:t>
      </w:r>
      <w:r w:rsidR="00BD7558" w:rsidRPr="008174D3">
        <w:rPr>
          <w:noProof/>
          <w:sz w:val="20"/>
          <w:szCs w:val="20"/>
          <w:lang w:val="en-US"/>
        </w:rPr>
        <w:t xml:space="preserve">multivariate econometric analysis </w:t>
      </w:r>
      <w:r>
        <w:rPr>
          <w:noProof/>
          <w:sz w:val="20"/>
          <w:szCs w:val="20"/>
          <w:lang w:val="en-US"/>
        </w:rPr>
        <w:t>relying on</w:t>
      </w:r>
      <w:r w:rsidRPr="008174D3">
        <w:rPr>
          <w:noProof/>
          <w:sz w:val="20"/>
          <w:szCs w:val="20"/>
          <w:lang w:val="en-US"/>
        </w:rPr>
        <w:t xml:space="preserve"> </w:t>
      </w:r>
      <w:r w:rsidR="00BD7558" w:rsidRPr="008174D3">
        <w:rPr>
          <w:noProof/>
          <w:sz w:val="20"/>
          <w:szCs w:val="20"/>
          <w:lang w:val="en-US"/>
        </w:rPr>
        <w:t xml:space="preserve">a unique </w:t>
      </w:r>
      <w:r w:rsidR="00B20D4B">
        <w:rPr>
          <w:noProof/>
          <w:sz w:val="20"/>
          <w:szCs w:val="20"/>
          <w:lang w:val="en-US"/>
        </w:rPr>
        <w:t xml:space="preserve">data set which </w:t>
      </w:r>
      <w:r w:rsidR="00B20D4B" w:rsidRPr="008174D3">
        <w:rPr>
          <w:noProof/>
          <w:sz w:val="20"/>
          <w:szCs w:val="20"/>
          <w:lang w:val="en-US"/>
        </w:rPr>
        <w:t>compil</w:t>
      </w:r>
      <w:r w:rsidR="00B20D4B">
        <w:rPr>
          <w:noProof/>
          <w:sz w:val="20"/>
          <w:szCs w:val="20"/>
          <w:lang w:val="en-US"/>
        </w:rPr>
        <w:t>es</w:t>
      </w:r>
      <w:r w:rsidR="00B20D4B" w:rsidRPr="008174D3">
        <w:rPr>
          <w:noProof/>
          <w:sz w:val="20"/>
          <w:szCs w:val="20"/>
          <w:lang w:val="en-US"/>
        </w:rPr>
        <w:t xml:space="preserve"> </w:t>
      </w:r>
      <w:r w:rsidR="007F7CB9">
        <w:rPr>
          <w:noProof/>
          <w:sz w:val="20"/>
          <w:szCs w:val="20"/>
          <w:lang w:val="en-US"/>
        </w:rPr>
        <w:t xml:space="preserve">annual </w:t>
      </w:r>
      <w:r w:rsidR="00BD7558" w:rsidRPr="008174D3">
        <w:rPr>
          <w:noProof/>
          <w:sz w:val="20"/>
          <w:szCs w:val="20"/>
          <w:lang w:val="en-US"/>
        </w:rPr>
        <w:t>data on trading activity</w:t>
      </w:r>
      <w:r w:rsidR="007F7CB9">
        <w:rPr>
          <w:noProof/>
          <w:sz w:val="20"/>
          <w:szCs w:val="20"/>
          <w:lang w:val="en-US"/>
        </w:rPr>
        <w:t xml:space="preserve"> (transactions aggregated from daily to annual level)</w:t>
      </w:r>
      <w:r w:rsidR="00BD7558" w:rsidRPr="008174D3">
        <w:rPr>
          <w:noProof/>
          <w:sz w:val="20"/>
          <w:szCs w:val="20"/>
          <w:lang w:val="en-US"/>
        </w:rPr>
        <w:t xml:space="preserve">, allocation and </w:t>
      </w:r>
      <w:r w:rsidR="00526A47">
        <w:rPr>
          <w:noProof/>
          <w:sz w:val="20"/>
          <w:szCs w:val="20"/>
          <w:lang w:val="en-US"/>
        </w:rPr>
        <w:t>verified emissions from the EU Transaction L</w:t>
      </w:r>
      <w:r w:rsidR="00BD7558" w:rsidRPr="008174D3">
        <w:rPr>
          <w:noProof/>
          <w:sz w:val="20"/>
          <w:szCs w:val="20"/>
          <w:lang w:val="en-US"/>
        </w:rPr>
        <w:t>og (EUTL)</w:t>
      </w:r>
      <w:r w:rsidR="007F7CB9">
        <w:rPr>
          <w:noProof/>
          <w:sz w:val="20"/>
          <w:szCs w:val="20"/>
          <w:lang w:val="en-US"/>
        </w:rPr>
        <w:t xml:space="preserve">, </w:t>
      </w:r>
      <w:r w:rsidR="00AE750C">
        <w:rPr>
          <w:noProof/>
          <w:sz w:val="20"/>
          <w:szCs w:val="20"/>
          <w:lang w:val="en-US"/>
        </w:rPr>
        <w:t>daily prices</w:t>
      </w:r>
      <w:r w:rsidR="00B20D4B">
        <w:rPr>
          <w:noProof/>
          <w:sz w:val="20"/>
          <w:szCs w:val="20"/>
          <w:lang w:val="en-US"/>
        </w:rPr>
        <w:t xml:space="preserve"> </w:t>
      </w:r>
      <w:r w:rsidR="003B0376">
        <w:rPr>
          <w:noProof/>
          <w:sz w:val="20"/>
          <w:szCs w:val="20"/>
          <w:lang w:val="en-US"/>
        </w:rPr>
        <w:t>of</w:t>
      </w:r>
      <w:r w:rsidR="00B20D4B">
        <w:rPr>
          <w:noProof/>
          <w:sz w:val="20"/>
          <w:szCs w:val="20"/>
          <w:lang w:val="en-US"/>
        </w:rPr>
        <w:t xml:space="preserve"> EUAs from the EEX</w:t>
      </w:r>
      <w:r w:rsidR="00AE750C">
        <w:rPr>
          <w:noProof/>
          <w:sz w:val="20"/>
          <w:szCs w:val="20"/>
          <w:lang w:val="en-US"/>
        </w:rPr>
        <w:t xml:space="preserve">, </w:t>
      </w:r>
      <w:r w:rsidR="007F7CB9" w:rsidRPr="007F7CB9">
        <w:rPr>
          <w:noProof/>
          <w:sz w:val="20"/>
          <w:szCs w:val="20"/>
          <w:lang w:val="en-US"/>
        </w:rPr>
        <w:t xml:space="preserve">average </w:t>
      </w:r>
      <w:r w:rsidR="00B20D4B">
        <w:rPr>
          <w:noProof/>
          <w:sz w:val="20"/>
          <w:szCs w:val="20"/>
          <w:lang w:val="en-US"/>
        </w:rPr>
        <w:t xml:space="preserve">annual </w:t>
      </w:r>
      <w:r w:rsidR="007F7CB9" w:rsidRPr="007F7CB9">
        <w:rPr>
          <w:noProof/>
          <w:sz w:val="20"/>
          <w:szCs w:val="20"/>
          <w:lang w:val="en-US"/>
        </w:rPr>
        <w:t>futures prices</w:t>
      </w:r>
      <w:r w:rsidR="00BD7558" w:rsidRPr="008174D3">
        <w:rPr>
          <w:noProof/>
          <w:sz w:val="20"/>
          <w:szCs w:val="20"/>
          <w:lang w:val="en-US"/>
        </w:rPr>
        <w:t xml:space="preserve"> </w:t>
      </w:r>
      <w:r w:rsidR="00B20D4B">
        <w:rPr>
          <w:noProof/>
          <w:sz w:val="20"/>
          <w:szCs w:val="20"/>
          <w:lang w:val="en-US"/>
        </w:rPr>
        <w:t xml:space="preserve">from ICE </w:t>
      </w:r>
      <w:r w:rsidR="00BD7558" w:rsidRPr="008174D3">
        <w:rPr>
          <w:noProof/>
          <w:sz w:val="20"/>
          <w:szCs w:val="20"/>
          <w:lang w:val="en-US"/>
        </w:rPr>
        <w:t xml:space="preserve">and </w:t>
      </w:r>
      <w:r w:rsidR="00F55845">
        <w:rPr>
          <w:noProof/>
          <w:sz w:val="20"/>
          <w:szCs w:val="20"/>
          <w:lang w:val="en-US"/>
        </w:rPr>
        <w:t>company</w:t>
      </w:r>
      <w:r w:rsidR="00BD7558" w:rsidRPr="008174D3">
        <w:rPr>
          <w:noProof/>
          <w:sz w:val="20"/>
          <w:szCs w:val="20"/>
          <w:lang w:val="en-US"/>
        </w:rPr>
        <w:t xml:space="preserve"> characteristics from the ORBIS data base from 2005 to 201</w:t>
      </w:r>
      <w:r w:rsidR="005424BC">
        <w:rPr>
          <w:noProof/>
          <w:sz w:val="20"/>
          <w:szCs w:val="20"/>
          <w:lang w:val="en-US"/>
        </w:rPr>
        <w:t>7</w:t>
      </w:r>
      <w:r w:rsidR="00B20D4B">
        <w:rPr>
          <w:noProof/>
          <w:sz w:val="20"/>
          <w:szCs w:val="20"/>
          <w:lang w:val="en-US"/>
        </w:rPr>
        <w:t xml:space="preserve">. Our data thus ranges </w:t>
      </w:r>
      <w:r w:rsidR="00BD7558" w:rsidRPr="008174D3">
        <w:rPr>
          <w:noProof/>
          <w:sz w:val="20"/>
          <w:szCs w:val="20"/>
          <w:lang w:val="en-US"/>
        </w:rPr>
        <w:t xml:space="preserve">over three trading periods. </w:t>
      </w:r>
      <w:r w:rsidR="003717DB" w:rsidRPr="003717DB">
        <w:rPr>
          <w:noProof/>
          <w:sz w:val="20"/>
          <w:szCs w:val="20"/>
          <w:lang w:val="en-US"/>
        </w:rPr>
        <w:t>EUTL installation</w:t>
      </w:r>
      <w:r w:rsidR="00B20D4B">
        <w:rPr>
          <w:noProof/>
          <w:sz w:val="20"/>
          <w:szCs w:val="20"/>
          <w:lang w:val="en-US"/>
        </w:rPr>
        <w:t>-level</w:t>
      </w:r>
      <w:r w:rsidR="003717DB" w:rsidRPr="003717DB">
        <w:rPr>
          <w:noProof/>
          <w:sz w:val="20"/>
          <w:szCs w:val="20"/>
          <w:lang w:val="en-US"/>
        </w:rPr>
        <w:t xml:space="preserve"> data </w:t>
      </w:r>
      <w:r w:rsidR="00B20D4B">
        <w:rPr>
          <w:noProof/>
          <w:sz w:val="20"/>
          <w:szCs w:val="20"/>
          <w:lang w:val="en-US"/>
        </w:rPr>
        <w:t>includes</w:t>
      </w:r>
      <w:r w:rsidR="00B20D4B" w:rsidRPr="003717DB">
        <w:rPr>
          <w:noProof/>
          <w:sz w:val="20"/>
          <w:szCs w:val="20"/>
          <w:lang w:val="en-US"/>
        </w:rPr>
        <w:t xml:space="preserve"> </w:t>
      </w:r>
      <w:r w:rsidR="003717DB" w:rsidRPr="003717DB">
        <w:rPr>
          <w:noProof/>
          <w:sz w:val="20"/>
          <w:szCs w:val="20"/>
          <w:lang w:val="en-US"/>
        </w:rPr>
        <w:t xml:space="preserve">allocation and </w:t>
      </w:r>
      <w:r w:rsidR="00B20D4B">
        <w:rPr>
          <w:noProof/>
          <w:sz w:val="20"/>
          <w:szCs w:val="20"/>
          <w:lang w:val="en-US"/>
        </w:rPr>
        <w:t xml:space="preserve">verified </w:t>
      </w:r>
      <w:r w:rsidR="003717DB" w:rsidRPr="003717DB">
        <w:rPr>
          <w:noProof/>
          <w:sz w:val="20"/>
          <w:szCs w:val="20"/>
          <w:lang w:val="en-US"/>
        </w:rPr>
        <w:t>emissions per installation, account data including information on the account owner and transaction data including information on all transactions, transaction types and accounts involved.</w:t>
      </w:r>
      <w:r w:rsidR="00AE750C">
        <w:rPr>
          <w:noProof/>
          <w:sz w:val="20"/>
          <w:szCs w:val="20"/>
          <w:lang w:val="en-US"/>
        </w:rPr>
        <w:t xml:space="preserve"> </w:t>
      </w:r>
      <w:r w:rsidR="00AE750C" w:rsidRPr="00AE750C">
        <w:rPr>
          <w:noProof/>
          <w:sz w:val="20"/>
          <w:szCs w:val="20"/>
          <w:lang w:val="en-US"/>
        </w:rPr>
        <w:t xml:space="preserve">Daily transaction data were matched to prices, using daily prices for spot trades and prices for futures (identified using </w:t>
      </w:r>
      <w:r w:rsidR="00526A47">
        <w:rPr>
          <w:noProof/>
          <w:sz w:val="20"/>
          <w:szCs w:val="20"/>
          <w:lang w:val="en-US"/>
        </w:rPr>
        <w:t>typical futures delivery dates)</w:t>
      </w:r>
      <w:r w:rsidR="00AE750C" w:rsidRPr="00AE750C">
        <w:rPr>
          <w:noProof/>
          <w:sz w:val="20"/>
          <w:szCs w:val="20"/>
          <w:lang w:val="en-US"/>
        </w:rPr>
        <w:t>.</w:t>
      </w:r>
      <w:r w:rsidR="003717DB">
        <w:rPr>
          <w:noProof/>
          <w:sz w:val="20"/>
          <w:szCs w:val="20"/>
          <w:lang w:val="en-US"/>
        </w:rPr>
        <w:t xml:space="preserve"> </w:t>
      </w:r>
      <w:r w:rsidR="003717DB" w:rsidRPr="003717DB">
        <w:rPr>
          <w:noProof/>
          <w:sz w:val="20"/>
          <w:szCs w:val="20"/>
          <w:lang w:val="en-US"/>
        </w:rPr>
        <w:t xml:space="preserve">The data was aggregated to </w:t>
      </w:r>
      <w:r w:rsidR="00B20D4B">
        <w:rPr>
          <w:noProof/>
          <w:sz w:val="20"/>
          <w:szCs w:val="20"/>
          <w:lang w:val="en-US"/>
        </w:rPr>
        <w:t xml:space="preserve">the </w:t>
      </w:r>
      <w:r w:rsidR="00F55845">
        <w:rPr>
          <w:noProof/>
          <w:sz w:val="20"/>
          <w:szCs w:val="20"/>
          <w:lang w:val="en-US"/>
        </w:rPr>
        <w:t>company</w:t>
      </w:r>
      <w:r w:rsidR="003717DB" w:rsidRPr="003717DB">
        <w:rPr>
          <w:noProof/>
          <w:sz w:val="20"/>
          <w:szCs w:val="20"/>
          <w:lang w:val="en-US"/>
        </w:rPr>
        <w:t xml:space="preserve"> level based on the company registration number of the accounts and matched with the ORBIS database.</w:t>
      </w:r>
    </w:p>
    <w:p w14:paraId="641E1173" w14:textId="77777777" w:rsidR="00555AE3" w:rsidRDefault="00555AE3" w:rsidP="003B0376">
      <w:pPr>
        <w:jc w:val="both"/>
        <w:rPr>
          <w:noProof/>
          <w:sz w:val="20"/>
          <w:szCs w:val="20"/>
          <w:lang w:val="en-US"/>
        </w:rPr>
      </w:pPr>
    </w:p>
    <w:p w14:paraId="5DF89EC6" w14:textId="6B26D4CE" w:rsidR="00E90504" w:rsidRDefault="00A448EB" w:rsidP="003B0376">
      <w:pPr>
        <w:jc w:val="both"/>
        <w:rPr>
          <w:noProof/>
          <w:sz w:val="20"/>
          <w:szCs w:val="20"/>
          <w:lang w:val="en-US"/>
        </w:rPr>
      </w:pPr>
      <w:r>
        <w:rPr>
          <w:noProof/>
          <w:sz w:val="20"/>
          <w:szCs w:val="20"/>
          <w:lang w:val="en-US"/>
        </w:rPr>
        <w:t>Our</w:t>
      </w:r>
      <w:r w:rsidR="00223A1A" w:rsidRPr="00CB48BF">
        <w:rPr>
          <w:noProof/>
          <w:sz w:val="20"/>
          <w:szCs w:val="20"/>
          <w:lang w:val="en-US"/>
        </w:rPr>
        <w:t xml:space="preserve"> dependent variable, </w:t>
      </w:r>
      <w:r w:rsidR="005C2B90" w:rsidRPr="00CB48BF">
        <w:rPr>
          <w:i/>
          <w:noProof/>
          <w:sz w:val="20"/>
          <w:szCs w:val="20"/>
          <w:lang w:val="en-US"/>
        </w:rPr>
        <w:t xml:space="preserve">profits, </w:t>
      </w:r>
      <w:r w:rsidR="005C2B90" w:rsidRPr="00CB48BF">
        <w:rPr>
          <w:noProof/>
          <w:sz w:val="20"/>
          <w:szCs w:val="20"/>
          <w:lang w:val="en-US"/>
        </w:rPr>
        <w:t xml:space="preserve">reflects trading success and </w:t>
      </w:r>
      <w:r w:rsidR="00223A1A" w:rsidRPr="00CB48BF">
        <w:rPr>
          <w:noProof/>
          <w:sz w:val="20"/>
          <w:szCs w:val="20"/>
          <w:lang w:val="en-US"/>
        </w:rPr>
        <w:t>is calculated as the</w:t>
      </w:r>
      <w:r w:rsidR="0094251E" w:rsidRPr="00CB48BF">
        <w:rPr>
          <w:noProof/>
          <w:sz w:val="20"/>
          <w:szCs w:val="20"/>
          <w:lang w:val="en-US"/>
        </w:rPr>
        <w:t xml:space="preserve"> </w:t>
      </w:r>
      <w:r w:rsidR="005C2B90" w:rsidRPr="00CB48BF">
        <w:rPr>
          <w:noProof/>
          <w:sz w:val="20"/>
          <w:szCs w:val="20"/>
          <w:lang w:val="en-US"/>
        </w:rPr>
        <w:t xml:space="preserve">difference in the </w:t>
      </w:r>
      <w:r w:rsidR="0094251E" w:rsidRPr="00CB48BF">
        <w:rPr>
          <w:noProof/>
          <w:sz w:val="20"/>
          <w:szCs w:val="20"/>
          <w:lang w:val="en-US"/>
        </w:rPr>
        <w:t xml:space="preserve">value of transfers </w:t>
      </w:r>
      <w:r w:rsidR="005C2B90" w:rsidRPr="00CB48BF">
        <w:rPr>
          <w:noProof/>
          <w:sz w:val="20"/>
          <w:szCs w:val="20"/>
          <w:lang w:val="en-US"/>
        </w:rPr>
        <w:t>and</w:t>
      </w:r>
      <w:r w:rsidR="0094251E" w:rsidRPr="00CB48BF">
        <w:rPr>
          <w:noProof/>
          <w:sz w:val="20"/>
          <w:szCs w:val="20"/>
          <w:lang w:val="en-US"/>
        </w:rPr>
        <w:t xml:space="preserve"> acquisitions in each year. </w:t>
      </w:r>
      <w:r w:rsidR="007F7B8C" w:rsidRPr="007F7B8C">
        <w:rPr>
          <w:noProof/>
          <w:sz w:val="20"/>
          <w:szCs w:val="20"/>
          <w:lang w:val="en-US"/>
        </w:rPr>
        <w:t xml:space="preserve">We </w:t>
      </w:r>
      <w:r>
        <w:rPr>
          <w:noProof/>
          <w:sz w:val="20"/>
          <w:szCs w:val="20"/>
          <w:lang w:val="en-US"/>
        </w:rPr>
        <w:t>group</w:t>
      </w:r>
      <w:r w:rsidR="007F7B8C" w:rsidRPr="007F7B8C">
        <w:rPr>
          <w:noProof/>
          <w:sz w:val="20"/>
          <w:szCs w:val="20"/>
          <w:lang w:val="en-US"/>
        </w:rPr>
        <w:t xml:space="preserve"> our set of covariates into five </w:t>
      </w:r>
      <w:r>
        <w:rPr>
          <w:noProof/>
          <w:sz w:val="20"/>
          <w:szCs w:val="20"/>
          <w:lang w:val="en-US"/>
        </w:rPr>
        <w:t>categories</w:t>
      </w:r>
      <w:r w:rsidR="007F7B8C" w:rsidRPr="007F7B8C">
        <w:rPr>
          <w:noProof/>
          <w:sz w:val="20"/>
          <w:szCs w:val="20"/>
          <w:lang w:val="en-US"/>
        </w:rPr>
        <w:t>. Allocation, strategic skills, structural skills, market pressure, and regional and period effects.</w:t>
      </w:r>
      <w:r w:rsidR="007F7B8C">
        <w:rPr>
          <w:noProof/>
          <w:sz w:val="20"/>
          <w:szCs w:val="20"/>
          <w:lang w:val="en-US"/>
        </w:rPr>
        <w:t xml:space="preserve"> </w:t>
      </w:r>
      <w:r w:rsidR="007F7B8C" w:rsidRPr="007F7B8C">
        <w:rPr>
          <w:noProof/>
          <w:sz w:val="20"/>
          <w:szCs w:val="20"/>
          <w:lang w:val="en-US"/>
        </w:rPr>
        <w:t xml:space="preserve">Allocation refers to the </w:t>
      </w:r>
      <w:r w:rsidR="007F7B8C" w:rsidRPr="007F7B8C">
        <w:rPr>
          <w:i/>
          <w:noProof/>
          <w:sz w:val="20"/>
          <w:szCs w:val="20"/>
          <w:lang w:val="en-US"/>
        </w:rPr>
        <w:t>net position</w:t>
      </w:r>
      <w:r w:rsidR="007F7B8C" w:rsidRPr="007F7B8C">
        <w:rPr>
          <w:noProof/>
          <w:sz w:val="20"/>
          <w:szCs w:val="20"/>
          <w:lang w:val="en-US"/>
        </w:rPr>
        <w:t xml:space="preserve"> of a company</w:t>
      </w:r>
      <w:r w:rsidR="00A97C8D">
        <w:rPr>
          <w:noProof/>
          <w:sz w:val="20"/>
          <w:szCs w:val="20"/>
          <w:lang w:val="en-US"/>
        </w:rPr>
        <w:t xml:space="preserve"> </w:t>
      </w:r>
      <w:r w:rsidR="00A97C8D" w:rsidRPr="00A97C8D">
        <w:rPr>
          <w:noProof/>
          <w:sz w:val="20"/>
          <w:szCs w:val="20"/>
          <w:lang w:val="en-US"/>
        </w:rPr>
        <w:t xml:space="preserve">and </w:t>
      </w:r>
      <w:r w:rsidR="00073316">
        <w:rPr>
          <w:noProof/>
          <w:sz w:val="20"/>
          <w:szCs w:val="20"/>
          <w:lang w:val="en-US"/>
        </w:rPr>
        <w:t>we</w:t>
      </w:r>
      <w:r>
        <w:rPr>
          <w:noProof/>
          <w:sz w:val="20"/>
          <w:szCs w:val="20"/>
          <w:lang w:val="en-US"/>
        </w:rPr>
        <w:t xml:space="preserve"> expected</w:t>
      </w:r>
      <w:r w:rsidR="00A97C8D" w:rsidRPr="00A97C8D">
        <w:rPr>
          <w:noProof/>
          <w:sz w:val="20"/>
          <w:szCs w:val="20"/>
          <w:lang w:val="en-US"/>
        </w:rPr>
        <w:t xml:space="preserve"> </w:t>
      </w:r>
      <w:r w:rsidR="00073316">
        <w:rPr>
          <w:noProof/>
          <w:sz w:val="20"/>
          <w:szCs w:val="20"/>
          <w:lang w:val="en-US"/>
        </w:rPr>
        <w:t>a</w:t>
      </w:r>
      <w:r w:rsidR="00A97C8D" w:rsidRPr="00A97C8D">
        <w:rPr>
          <w:noProof/>
          <w:sz w:val="20"/>
          <w:szCs w:val="20"/>
          <w:lang w:val="en-US"/>
        </w:rPr>
        <w:t xml:space="preserve"> positive correlat</w:t>
      </w:r>
      <w:r w:rsidR="00073316">
        <w:rPr>
          <w:noProof/>
          <w:sz w:val="20"/>
          <w:szCs w:val="20"/>
          <w:lang w:val="en-US"/>
        </w:rPr>
        <w:t>ion</w:t>
      </w:r>
      <w:r w:rsidR="00A97C8D" w:rsidRPr="00A97C8D">
        <w:rPr>
          <w:noProof/>
          <w:sz w:val="20"/>
          <w:szCs w:val="20"/>
          <w:lang w:val="en-US"/>
        </w:rPr>
        <w:t xml:space="preserve"> with </w:t>
      </w:r>
      <w:r w:rsidR="00A97C8D" w:rsidRPr="00073316">
        <w:rPr>
          <w:i/>
          <w:noProof/>
          <w:sz w:val="20"/>
          <w:szCs w:val="20"/>
          <w:lang w:val="en-US"/>
        </w:rPr>
        <w:t>profits</w:t>
      </w:r>
      <w:r w:rsidR="00A97C8D" w:rsidRPr="00A97C8D">
        <w:rPr>
          <w:noProof/>
          <w:sz w:val="20"/>
          <w:szCs w:val="20"/>
          <w:lang w:val="en-US"/>
        </w:rPr>
        <w:t xml:space="preserve">, as a higher </w:t>
      </w:r>
      <w:r w:rsidR="00A97C8D" w:rsidRPr="00073316">
        <w:rPr>
          <w:i/>
          <w:noProof/>
          <w:sz w:val="20"/>
          <w:szCs w:val="20"/>
          <w:lang w:val="en-US"/>
        </w:rPr>
        <w:t>net position</w:t>
      </w:r>
      <w:r w:rsidR="00A97C8D" w:rsidRPr="00A97C8D">
        <w:rPr>
          <w:noProof/>
          <w:sz w:val="20"/>
          <w:szCs w:val="20"/>
          <w:lang w:val="en-US"/>
        </w:rPr>
        <w:t xml:space="preserve"> leads to less EUAs to purchase on the market, or more to sell.</w:t>
      </w:r>
      <w:r w:rsidR="007F7B8C">
        <w:rPr>
          <w:noProof/>
          <w:sz w:val="20"/>
          <w:szCs w:val="20"/>
          <w:lang w:val="en-US"/>
        </w:rPr>
        <w:t xml:space="preserve"> </w:t>
      </w:r>
      <w:r w:rsidR="00915C6E" w:rsidRPr="00915C6E">
        <w:rPr>
          <w:noProof/>
          <w:sz w:val="20"/>
          <w:szCs w:val="20"/>
          <w:lang w:val="en-US"/>
        </w:rPr>
        <w:t xml:space="preserve">We included four variables reflecting strategic trading skills related to the EU ETS. First, we expected </w:t>
      </w:r>
      <w:r w:rsidR="00915C6E" w:rsidRPr="00915C6E">
        <w:rPr>
          <w:i/>
          <w:noProof/>
          <w:sz w:val="20"/>
          <w:szCs w:val="20"/>
          <w:lang w:val="en-US"/>
        </w:rPr>
        <w:t xml:space="preserve">banking </w:t>
      </w:r>
      <w:r w:rsidR="00915C6E" w:rsidRPr="00915C6E">
        <w:rPr>
          <w:noProof/>
          <w:sz w:val="20"/>
          <w:szCs w:val="20"/>
          <w:lang w:val="en-US"/>
        </w:rPr>
        <w:t xml:space="preserve">to have a negative effect on </w:t>
      </w:r>
      <w:r w:rsidR="00915C6E" w:rsidRPr="00915C6E">
        <w:rPr>
          <w:i/>
          <w:noProof/>
          <w:sz w:val="20"/>
          <w:szCs w:val="20"/>
          <w:lang w:val="en-US"/>
        </w:rPr>
        <w:t>profits</w:t>
      </w:r>
      <w:r w:rsidR="00915C6E" w:rsidRPr="00915C6E">
        <w:rPr>
          <w:noProof/>
          <w:sz w:val="20"/>
          <w:szCs w:val="20"/>
          <w:lang w:val="en-US"/>
        </w:rPr>
        <w:t>. The more allowances a company transfers into subsequent years, the less it can sell in year t, and the lower the profits from trading will therefore be.</w:t>
      </w:r>
      <w:r w:rsidR="00915C6E">
        <w:rPr>
          <w:noProof/>
          <w:sz w:val="20"/>
          <w:szCs w:val="20"/>
          <w:lang w:val="en-US"/>
        </w:rPr>
        <w:t xml:space="preserve"> </w:t>
      </w:r>
      <w:r w:rsidR="00915C6E" w:rsidRPr="00915C6E">
        <w:rPr>
          <w:noProof/>
          <w:sz w:val="20"/>
          <w:szCs w:val="20"/>
          <w:lang w:val="en-US"/>
        </w:rPr>
        <w:t xml:space="preserve">Second, we included two variables that reflect the timing of buying and selling activities. More specifically, </w:t>
      </w:r>
      <w:r w:rsidR="00915C6E" w:rsidRPr="00915C6E">
        <w:rPr>
          <w:i/>
          <w:noProof/>
          <w:sz w:val="20"/>
          <w:szCs w:val="20"/>
          <w:lang w:val="en-US"/>
        </w:rPr>
        <w:t>late buyer</w:t>
      </w:r>
      <w:r w:rsidR="00915C6E" w:rsidRPr="00915C6E">
        <w:rPr>
          <w:noProof/>
          <w:sz w:val="20"/>
          <w:szCs w:val="20"/>
          <w:lang w:val="en-US"/>
        </w:rPr>
        <w:t xml:space="preserve">s and </w:t>
      </w:r>
      <w:r w:rsidR="00915C6E" w:rsidRPr="00915C6E">
        <w:rPr>
          <w:i/>
          <w:noProof/>
          <w:sz w:val="20"/>
          <w:szCs w:val="20"/>
          <w:lang w:val="en-US"/>
        </w:rPr>
        <w:t>late sellers</w:t>
      </w:r>
      <w:r w:rsidR="00915C6E" w:rsidRPr="00915C6E">
        <w:rPr>
          <w:noProof/>
          <w:sz w:val="20"/>
          <w:szCs w:val="20"/>
          <w:lang w:val="en-US"/>
        </w:rPr>
        <w:t xml:space="preserve"> were defined as the number of allowances traded</w:t>
      </w:r>
      <w:r w:rsidR="00915C6E">
        <w:rPr>
          <w:noProof/>
          <w:sz w:val="20"/>
          <w:szCs w:val="20"/>
          <w:lang w:val="en-US"/>
        </w:rPr>
        <w:t xml:space="preserve"> in February, March, and April</w:t>
      </w:r>
      <w:r w:rsidR="00915C6E" w:rsidRPr="00915C6E">
        <w:rPr>
          <w:noProof/>
          <w:sz w:val="20"/>
          <w:szCs w:val="20"/>
          <w:lang w:val="en-US"/>
        </w:rPr>
        <w:t xml:space="preserve">. </w:t>
      </w:r>
      <w:r w:rsidR="00915C6E">
        <w:rPr>
          <w:noProof/>
          <w:sz w:val="20"/>
          <w:szCs w:val="20"/>
          <w:lang w:val="en-US"/>
        </w:rPr>
        <w:t>The variables</w:t>
      </w:r>
      <w:r w:rsidR="00915C6E" w:rsidRPr="00915C6E">
        <w:rPr>
          <w:noProof/>
          <w:sz w:val="20"/>
          <w:szCs w:val="20"/>
          <w:lang w:val="en-US"/>
        </w:rPr>
        <w:t xml:space="preserve"> were assumed to reflect the extent to which companies trade for compliance purposes, but the relation to </w:t>
      </w:r>
      <w:r w:rsidR="00915C6E" w:rsidRPr="00915C6E">
        <w:rPr>
          <w:i/>
          <w:noProof/>
          <w:sz w:val="20"/>
          <w:szCs w:val="20"/>
          <w:lang w:val="en-US"/>
        </w:rPr>
        <w:t>profits</w:t>
      </w:r>
      <w:r w:rsidR="00915C6E" w:rsidRPr="00915C6E">
        <w:rPr>
          <w:noProof/>
          <w:sz w:val="20"/>
          <w:szCs w:val="20"/>
          <w:lang w:val="en-US"/>
        </w:rPr>
        <w:t xml:space="preserve"> is not clear and hinges on the EUA price during the true-up period relative to the remainder of a trading year</w:t>
      </w:r>
      <w:r w:rsidR="00915C6E" w:rsidRPr="00A97C8D">
        <w:rPr>
          <w:noProof/>
          <w:sz w:val="20"/>
          <w:szCs w:val="20"/>
          <w:lang w:val="en-US"/>
        </w:rPr>
        <w:t>.</w:t>
      </w:r>
      <w:r w:rsidR="00A97C8D" w:rsidRPr="00A97C8D">
        <w:rPr>
          <w:noProof/>
          <w:sz w:val="20"/>
          <w:szCs w:val="20"/>
          <w:lang w:val="en-US"/>
        </w:rPr>
        <w:t xml:space="preserve"> </w:t>
      </w:r>
      <w:r w:rsidR="00A97C8D" w:rsidRPr="00A97C8D">
        <w:rPr>
          <w:rFonts w:eastAsia="Arial"/>
          <w:sz w:val="20"/>
          <w:szCs w:val="20"/>
          <w:lang w:val="en-GB"/>
        </w:rPr>
        <w:t xml:space="preserve">Third, </w:t>
      </w:r>
      <w:r w:rsidR="00A97C8D" w:rsidRPr="00A97C8D">
        <w:rPr>
          <w:rFonts w:eastAsia="Arial"/>
          <w:i/>
          <w:sz w:val="20"/>
          <w:szCs w:val="20"/>
          <w:lang w:val="en-GB"/>
        </w:rPr>
        <w:t>transaction frequency</w:t>
      </w:r>
      <w:r w:rsidR="00A97C8D" w:rsidRPr="00A97C8D">
        <w:rPr>
          <w:rFonts w:eastAsia="Arial"/>
          <w:sz w:val="20"/>
          <w:szCs w:val="20"/>
          <w:lang w:val="en-GB"/>
        </w:rPr>
        <w:t xml:space="preserve">, i.e. the number of transactions in trading year t, is supposed to reflect experience and learning effects. Assuming that frequent trading leads to learning effects (e.g. larger trading network, benefitting from price fluctuations), we expected this variable to be positively correlated with </w:t>
      </w:r>
      <w:r w:rsidR="00A97C8D" w:rsidRPr="00A97C8D">
        <w:rPr>
          <w:rFonts w:eastAsia="Arial"/>
          <w:i/>
          <w:sz w:val="20"/>
          <w:szCs w:val="20"/>
          <w:lang w:val="en-GB"/>
        </w:rPr>
        <w:t>profits</w:t>
      </w:r>
      <w:r w:rsidR="00A97C8D" w:rsidRPr="00A97C8D">
        <w:rPr>
          <w:rFonts w:eastAsia="Arial"/>
          <w:sz w:val="20"/>
          <w:szCs w:val="20"/>
          <w:lang w:val="en-GB"/>
        </w:rPr>
        <w:t xml:space="preserve">. Fourth, </w:t>
      </w:r>
      <w:r w:rsidR="00A97C8D" w:rsidRPr="00A97C8D">
        <w:rPr>
          <w:rFonts w:eastAsia="Arial"/>
          <w:i/>
          <w:sz w:val="20"/>
          <w:szCs w:val="20"/>
          <w:lang w:val="en-GB"/>
        </w:rPr>
        <w:t>use of intermediaries</w:t>
      </w:r>
      <w:r w:rsidR="00A97C8D" w:rsidRPr="00A97C8D">
        <w:rPr>
          <w:rFonts w:eastAsia="Arial"/>
          <w:sz w:val="20"/>
          <w:szCs w:val="20"/>
          <w:lang w:val="en-GB"/>
        </w:rPr>
        <w:t xml:space="preserve"> measures the number of different intermediaries a company used in trading year t. We assumed that this variable reflects access to better information, thus leading to higher </w:t>
      </w:r>
      <w:r w:rsidR="00A97C8D" w:rsidRPr="00A97C8D">
        <w:rPr>
          <w:rFonts w:eastAsia="Arial"/>
          <w:i/>
          <w:sz w:val="20"/>
          <w:szCs w:val="20"/>
          <w:lang w:val="en-GB"/>
        </w:rPr>
        <w:t>profits</w:t>
      </w:r>
      <w:r w:rsidR="00A97C8D" w:rsidRPr="00A97C8D">
        <w:rPr>
          <w:rFonts w:eastAsia="Arial"/>
          <w:sz w:val="20"/>
          <w:szCs w:val="20"/>
          <w:lang w:val="en-GB"/>
        </w:rPr>
        <w:t xml:space="preserve">. Finally, </w:t>
      </w:r>
      <w:r w:rsidR="00A97C8D" w:rsidRPr="00A97C8D">
        <w:rPr>
          <w:rFonts w:eastAsia="Arial"/>
          <w:i/>
          <w:sz w:val="20"/>
          <w:szCs w:val="20"/>
          <w:lang w:val="en-GB"/>
        </w:rPr>
        <w:t xml:space="preserve">total transactions </w:t>
      </w:r>
      <w:r w:rsidR="00A97C8D" w:rsidRPr="00A97C8D">
        <w:rPr>
          <w:rFonts w:eastAsia="Arial"/>
          <w:sz w:val="20"/>
          <w:szCs w:val="20"/>
          <w:lang w:val="en-GB"/>
        </w:rPr>
        <w:t xml:space="preserve">reflect the total number of allowances traded in a year. Companies trading higher volumes should have a higher interest </w:t>
      </w:r>
      <w:r w:rsidR="00A97C8D" w:rsidRPr="00A97C8D">
        <w:rPr>
          <w:rFonts w:eastAsia="Arial"/>
          <w:sz w:val="20"/>
          <w:szCs w:val="20"/>
          <w:lang w:val="en-GB"/>
        </w:rPr>
        <w:lastRenderedPageBreak/>
        <w:t xml:space="preserve">in the trading outcome and because there is more at stake, learning effects were expected to be higher for higher trading volumes. We therefore expected a positive correlation of </w:t>
      </w:r>
      <w:r w:rsidR="00A97C8D" w:rsidRPr="00A97C8D">
        <w:rPr>
          <w:rFonts w:eastAsia="Arial"/>
          <w:i/>
          <w:sz w:val="20"/>
          <w:szCs w:val="20"/>
          <w:lang w:val="en-GB"/>
        </w:rPr>
        <w:t>total transactions</w:t>
      </w:r>
      <w:r w:rsidR="00A97C8D" w:rsidRPr="00A97C8D">
        <w:rPr>
          <w:rFonts w:eastAsia="Arial"/>
          <w:sz w:val="20"/>
          <w:szCs w:val="20"/>
          <w:lang w:val="en-GB"/>
        </w:rPr>
        <w:t xml:space="preserve"> with </w:t>
      </w:r>
      <w:r w:rsidR="00A97C8D" w:rsidRPr="00A97C8D">
        <w:rPr>
          <w:rFonts w:eastAsia="Arial"/>
          <w:i/>
          <w:iCs/>
          <w:sz w:val="20"/>
          <w:szCs w:val="20"/>
          <w:lang w:val="en-GB"/>
        </w:rPr>
        <w:t>profits</w:t>
      </w:r>
      <w:r w:rsidR="00A97C8D" w:rsidRPr="00A97C8D">
        <w:rPr>
          <w:rFonts w:eastAsia="Arial"/>
          <w:sz w:val="20"/>
          <w:szCs w:val="20"/>
          <w:lang w:val="en-GB"/>
        </w:rPr>
        <w:t>.</w:t>
      </w:r>
    </w:p>
    <w:p w14:paraId="7AF0E539" w14:textId="2E368E02" w:rsidR="00BD627C" w:rsidRDefault="00BD627C" w:rsidP="003B0376">
      <w:pPr>
        <w:jc w:val="both"/>
        <w:rPr>
          <w:noProof/>
          <w:sz w:val="20"/>
          <w:szCs w:val="20"/>
          <w:lang w:val="en-US"/>
        </w:rPr>
      </w:pPr>
    </w:p>
    <w:p w14:paraId="7DF2A901" w14:textId="04D8B697" w:rsidR="00A97C8D" w:rsidRDefault="00A97C8D" w:rsidP="003B0376">
      <w:pPr>
        <w:jc w:val="both"/>
        <w:rPr>
          <w:noProof/>
          <w:sz w:val="20"/>
          <w:szCs w:val="20"/>
          <w:lang w:val="en-US"/>
        </w:rPr>
      </w:pPr>
      <w:r w:rsidRPr="00A97C8D">
        <w:rPr>
          <w:noProof/>
          <w:sz w:val="20"/>
          <w:szCs w:val="20"/>
          <w:lang w:val="en-US"/>
        </w:rPr>
        <w:t>We further included covariates which reflect skills-related structural variables, i.e. the number of installations, whether a company belongs to the energy sector, company size, and productivity. These are believed to reflect the extent to which companies have access to complementary assets and capabilities which enable them to trade EUAs more success-fully.</w:t>
      </w:r>
    </w:p>
    <w:p w14:paraId="78FBF13B" w14:textId="1536F204" w:rsidR="000A68BE" w:rsidRDefault="00073316" w:rsidP="000C5764">
      <w:pPr>
        <w:jc w:val="both"/>
        <w:rPr>
          <w:noProof/>
          <w:sz w:val="20"/>
          <w:szCs w:val="20"/>
          <w:lang w:val="en-US"/>
        </w:rPr>
      </w:pPr>
      <w:r w:rsidRPr="00073316">
        <w:rPr>
          <w:rFonts w:eastAsia="Arial"/>
          <w:sz w:val="20"/>
          <w:szCs w:val="20"/>
          <w:lang w:val="en-GB"/>
        </w:rPr>
        <w:t xml:space="preserve">To capture the effect of market pressure on trading performance, the set of covariates contains </w:t>
      </w:r>
      <w:r w:rsidRPr="00073316">
        <w:rPr>
          <w:rFonts w:eastAsia="Arial"/>
          <w:i/>
          <w:sz w:val="20"/>
          <w:szCs w:val="20"/>
          <w:lang w:val="en-GB"/>
        </w:rPr>
        <w:t>carbon leakage</w:t>
      </w:r>
      <w:r w:rsidRPr="00073316">
        <w:rPr>
          <w:rFonts w:eastAsia="Arial"/>
          <w:sz w:val="20"/>
          <w:szCs w:val="20"/>
          <w:lang w:val="en-GB"/>
        </w:rPr>
        <w:t xml:space="preserve">. Companies are assumed to face import competition from outside Europe, if they predominantly produce products which appear on the carbon leakage list of the EU ETS regulations. As these companies should have particularly strong incentives to keep compliance costs low, we expected </w:t>
      </w:r>
      <w:r w:rsidRPr="00073316">
        <w:rPr>
          <w:rFonts w:eastAsia="Arial"/>
          <w:i/>
          <w:sz w:val="20"/>
          <w:szCs w:val="20"/>
          <w:lang w:val="en-GB"/>
        </w:rPr>
        <w:t>profits</w:t>
      </w:r>
      <w:r w:rsidRPr="00073316">
        <w:rPr>
          <w:rFonts w:eastAsia="Arial"/>
          <w:sz w:val="20"/>
          <w:szCs w:val="20"/>
          <w:lang w:val="en-GB"/>
        </w:rPr>
        <w:t xml:space="preserve"> to be positively correlated with </w:t>
      </w:r>
      <w:r w:rsidRPr="00073316">
        <w:rPr>
          <w:rFonts w:eastAsia="Arial"/>
          <w:i/>
          <w:sz w:val="20"/>
          <w:szCs w:val="20"/>
          <w:lang w:val="en-GB"/>
        </w:rPr>
        <w:t>carbon leakage</w:t>
      </w:r>
      <w:r w:rsidRPr="00073316">
        <w:rPr>
          <w:rFonts w:eastAsia="Arial"/>
          <w:sz w:val="20"/>
          <w:szCs w:val="20"/>
          <w:lang w:val="en-GB"/>
        </w:rPr>
        <w:t xml:space="preserve">. </w:t>
      </w:r>
      <w:r w:rsidR="00A8087F" w:rsidRPr="00073316">
        <w:rPr>
          <w:noProof/>
          <w:sz w:val="20"/>
          <w:szCs w:val="20"/>
          <w:lang w:val="en-US"/>
        </w:rPr>
        <w:t>Finally, w</w:t>
      </w:r>
      <w:r w:rsidR="00153691" w:rsidRPr="00073316">
        <w:rPr>
          <w:noProof/>
          <w:sz w:val="20"/>
          <w:szCs w:val="20"/>
          <w:lang w:val="en-US"/>
        </w:rPr>
        <w:t xml:space="preserve">e </w:t>
      </w:r>
      <w:r w:rsidR="00BD627C" w:rsidRPr="00073316">
        <w:rPr>
          <w:noProof/>
          <w:sz w:val="20"/>
          <w:szCs w:val="20"/>
          <w:lang w:val="en-US"/>
        </w:rPr>
        <w:t xml:space="preserve">included dummies to </w:t>
      </w:r>
      <w:r w:rsidR="00153691" w:rsidRPr="00073316">
        <w:rPr>
          <w:noProof/>
          <w:sz w:val="20"/>
          <w:szCs w:val="20"/>
          <w:lang w:val="en-US"/>
        </w:rPr>
        <w:t xml:space="preserve">control for </w:t>
      </w:r>
      <w:r w:rsidR="00E523E3" w:rsidRPr="00073316">
        <w:rPr>
          <w:noProof/>
          <w:sz w:val="20"/>
          <w:szCs w:val="20"/>
          <w:lang w:val="en-US"/>
        </w:rPr>
        <w:t>region</w:t>
      </w:r>
      <w:r w:rsidR="00153691" w:rsidRPr="00073316">
        <w:rPr>
          <w:noProof/>
          <w:sz w:val="20"/>
          <w:szCs w:val="20"/>
          <w:lang w:val="en-US"/>
        </w:rPr>
        <w:t xml:space="preserve">-specific effects </w:t>
      </w:r>
      <w:r w:rsidR="00BD627C" w:rsidRPr="00073316">
        <w:rPr>
          <w:noProof/>
          <w:sz w:val="20"/>
          <w:szCs w:val="20"/>
          <w:lang w:val="en-US"/>
        </w:rPr>
        <w:t>and</w:t>
      </w:r>
      <w:r w:rsidR="005C2B90" w:rsidRPr="00073316">
        <w:rPr>
          <w:noProof/>
          <w:sz w:val="20"/>
          <w:szCs w:val="20"/>
          <w:lang w:val="en-US"/>
        </w:rPr>
        <w:t xml:space="preserve"> to capture </w:t>
      </w:r>
      <w:r w:rsidR="00153691" w:rsidRPr="00073316">
        <w:rPr>
          <w:noProof/>
          <w:sz w:val="20"/>
          <w:szCs w:val="20"/>
          <w:lang w:val="en-US"/>
        </w:rPr>
        <w:t xml:space="preserve">differences across </w:t>
      </w:r>
      <w:r w:rsidR="00E523E3" w:rsidRPr="00073316">
        <w:rPr>
          <w:noProof/>
          <w:sz w:val="20"/>
          <w:szCs w:val="20"/>
          <w:lang w:val="en-US"/>
        </w:rPr>
        <w:t>trading periods</w:t>
      </w:r>
      <w:r w:rsidR="005F3B7C" w:rsidRPr="00073316">
        <w:rPr>
          <w:noProof/>
          <w:sz w:val="20"/>
          <w:szCs w:val="20"/>
          <w:lang w:val="en-US"/>
        </w:rPr>
        <w:t>, i.e. 2005-2007, 2008-2012 and 2013-2017</w:t>
      </w:r>
      <w:r w:rsidR="005C2B90" w:rsidRPr="00073316">
        <w:rPr>
          <w:noProof/>
          <w:sz w:val="20"/>
          <w:szCs w:val="20"/>
          <w:lang w:val="en-US"/>
        </w:rPr>
        <w:t>.</w:t>
      </w:r>
    </w:p>
    <w:p w14:paraId="76A74E64" w14:textId="77777777" w:rsidR="00BD627C" w:rsidRDefault="00BD627C" w:rsidP="000C5764">
      <w:pPr>
        <w:jc w:val="both"/>
        <w:rPr>
          <w:noProof/>
          <w:sz w:val="20"/>
          <w:szCs w:val="20"/>
          <w:lang w:val="en-US"/>
        </w:rPr>
      </w:pPr>
    </w:p>
    <w:p w14:paraId="73896B9E" w14:textId="50BBCBFA" w:rsidR="005F6ACD" w:rsidRDefault="000A68BE" w:rsidP="000C5764">
      <w:pPr>
        <w:jc w:val="both"/>
        <w:rPr>
          <w:noProof/>
          <w:sz w:val="20"/>
          <w:szCs w:val="20"/>
          <w:lang w:val="en-US"/>
        </w:rPr>
      </w:pPr>
      <w:r>
        <w:rPr>
          <w:noProof/>
          <w:sz w:val="20"/>
          <w:szCs w:val="20"/>
          <w:lang w:val="en-US"/>
        </w:rPr>
        <w:t xml:space="preserve">Because we observe </w:t>
      </w:r>
      <w:r w:rsidRPr="003B0376">
        <w:rPr>
          <w:i/>
          <w:noProof/>
          <w:sz w:val="20"/>
          <w:szCs w:val="20"/>
          <w:lang w:val="en-US"/>
        </w:rPr>
        <w:t>profits</w:t>
      </w:r>
      <w:r>
        <w:rPr>
          <w:noProof/>
          <w:sz w:val="20"/>
          <w:szCs w:val="20"/>
          <w:lang w:val="en-US"/>
        </w:rPr>
        <w:t xml:space="preserve"> only for companies participating in emissions trading, we</w:t>
      </w:r>
      <w:r w:rsidRPr="005F6ACD">
        <w:rPr>
          <w:noProof/>
          <w:sz w:val="20"/>
          <w:szCs w:val="20"/>
          <w:lang w:val="en-US"/>
        </w:rPr>
        <w:t xml:space="preserve"> employ</w:t>
      </w:r>
      <w:r w:rsidRPr="00E33DDC">
        <w:rPr>
          <w:noProof/>
          <w:sz w:val="20"/>
          <w:szCs w:val="20"/>
          <w:lang w:val="en-US"/>
        </w:rPr>
        <w:t xml:space="preserve"> </w:t>
      </w:r>
      <w:r>
        <w:rPr>
          <w:noProof/>
          <w:sz w:val="20"/>
          <w:szCs w:val="20"/>
          <w:lang w:val="en-US"/>
        </w:rPr>
        <w:t>the</w:t>
      </w:r>
      <w:r w:rsidRPr="00E33DDC">
        <w:rPr>
          <w:noProof/>
          <w:sz w:val="20"/>
          <w:szCs w:val="20"/>
          <w:lang w:val="en-US"/>
        </w:rPr>
        <w:t xml:space="preserve"> Heckman </w:t>
      </w:r>
      <w:r w:rsidR="00A8087F">
        <w:rPr>
          <w:noProof/>
          <w:sz w:val="20"/>
          <w:szCs w:val="20"/>
          <w:lang w:val="en-US"/>
        </w:rPr>
        <w:t xml:space="preserve">panel data </w:t>
      </w:r>
      <w:r w:rsidRPr="00E33DDC">
        <w:rPr>
          <w:noProof/>
          <w:sz w:val="20"/>
          <w:szCs w:val="20"/>
          <w:lang w:val="en-US"/>
        </w:rPr>
        <w:t xml:space="preserve">estimator to address </w:t>
      </w:r>
      <w:r>
        <w:rPr>
          <w:noProof/>
          <w:sz w:val="20"/>
          <w:szCs w:val="20"/>
          <w:lang w:val="en-US"/>
        </w:rPr>
        <w:t>a potential</w:t>
      </w:r>
      <w:r w:rsidRPr="00E33DDC">
        <w:rPr>
          <w:noProof/>
          <w:sz w:val="20"/>
          <w:szCs w:val="20"/>
          <w:lang w:val="en-US"/>
        </w:rPr>
        <w:t xml:space="preserve"> sample selection problem</w:t>
      </w:r>
      <w:r>
        <w:rPr>
          <w:noProof/>
          <w:sz w:val="20"/>
          <w:szCs w:val="20"/>
          <w:lang w:val="en-US"/>
        </w:rPr>
        <w:t>. To do so, w</w:t>
      </w:r>
      <w:r w:rsidRPr="002D5674">
        <w:rPr>
          <w:noProof/>
          <w:sz w:val="20"/>
          <w:szCs w:val="20"/>
          <w:lang w:val="en-US"/>
        </w:rPr>
        <w:t xml:space="preserve">e use </w:t>
      </w:r>
      <w:r>
        <w:rPr>
          <w:noProof/>
          <w:sz w:val="20"/>
          <w:szCs w:val="20"/>
          <w:lang w:val="en-US"/>
        </w:rPr>
        <w:t xml:space="preserve">the shares of companies participating in emissions trading at the country level as an additonal covariate in the </w:t>
      </w:r>
      <w:r w:rsidR="00A8087F">
        <w:rPr>
          <w:noProof/>
          <w:sz w:val="20"/>
          <w:szCs w:val="20"/>
          <w:lang w:val="en-US"/>
        </w:rPr>
        <w:t>equation governing company participation in the trading of allowances</w:t>
      </w:r>
      <w:r>
        <w:rPr>
          <w:noProof/>
          <w:sz w:val="20"/>
          <w:szCs w:val="20"/>
          <w:lang w:val="en-US"/>
        </w:rPr>
        <w:t>.</w:t>
      </w:r>
    </w:p>
    <w:p w14:paraId="7F90DD9B" w14:textId="39E773B0" w:rsidR="00710CAD" w:rsidRPr="00710CAD" w:rsidRDefault="00394222" w:rsidP="00710CAD">
      <w:pPr>
        <w:pStyle w:val="Titolo4"/>
        <w:rPr>
          <w:b/>
          <w:noProof/>
          <w:lang w:val="en-US"/>
        </w:rPr>
      </w:pPr>
      <w:r w:rsidRPr="00713DEE">
        <w:rPr>
          <w:b/>
          <w:noProof/>
          <w:lang w:val="en-US"/>
        </w:rPr>
        <w:t>Results</w:t>
      </w:r>
    </w:p>
    <w:p w14:paraId="7866B321" w14:textId="46DF1DDE" w:rsidR="00B93C1C" w:rsidRPr="00410B9F" w:rsidRDefault="001E0F2C" w:rsidP="000C5764">
      <w:pPr>
        <w:jc w:val="both"/>
        <w:rPr>
          <w:noProof/>
          <w:sz w:val="20"/>
          <w:szCs w:val="20"/>
          <w:lang w:val="en-US"/>
        </w:rPr>
      </w:pPr>
      <w:r w:rsidRPr="001E0F2C">
        <w:rPr>
          <w:noProof/>
          <w:sz w:val="20"/>
          <w:szCs w:val="20"/>
          <w:lang w:val="en-US"/>
        </w:rPr>
        <w:t xml:space="preserve">Our results suggest that profits from emissions trading are, as expected, to a large extent related to a company’s net position: higher amounts of free allocation lead to higher profits from emissions trading. We also found evidence that profits from emissions trading are driven by strategic skills and skill-related structural factors. With regard to strategic skills, our findings suggest that companies bank allowances efficiently: when they decide on the number of banked allowances to transfer into future periods, companies adequately take into account the opportunity costs of selling these allowances on the market. Further, we found that late buying (late selling) of allowances within a trading year was correlated positively (negatively) with profits from emissions trading in the first trading period. In subsequent trading periods, such results can no longer be observed; this may reflect learning effects achieved by companies. For skill-related structural factors, we found that companies with more installations make higher profits from trading, ceteris paribus, possibly reflecting </w:t>
      </w:r>
      <w:r w:rsidR="00BD304D">
        <w:rPr>
          <w:noProof/>
          <w:sz w:val="20"/>
          <w:szCs w:val="20"/>
          <w:lang w:val="en-US"/>
        </w:rPr>
        <w:t>the conducive role of complemen</w:t>
      </w:r>
      <w:r w:rsidRPr="001E0F2C">
        <w:rPr>
          <w:noProof/>
          <w:sz w:val="20"/>
          <w:szCs w:val="20"/>
          <w:lang w:val="en-US"/>
        </w:rPr>
        <w:t>tary assets in this context. These findings were obtained for the period 2005-2017, which was characterised by relatively low prices of EUAs.</w:t>
      </w:r>
    </w:p>
    <w:p w14:paraId="3CB4DEE5" w14:textId="77777777" w:rsidR="00394222" w:rsidRPr="00713DEE" w:rsidRDefault="00394222" w:rsidP="00394222">
      <w:pPr>
        <w:pStyle w:val="Titolo4"/>
        <w:rPr>
          <w:b/>
          <w:noProof/>
          <w:lang w:val="en-US"/>
        </w:rPr>
      </w:pPr>
      <w:r w:rsidRPr="00713DEE">
        <w:rPr>
          <w:b/>
          <w:noProof/>
          <w:lang w:val="en-US"/>
        </w:rPr>
        <w:t>Conclusions</w:t>
      </w:r>
    </w:p>
    <w:p w14:paraId="1DBE4C5C" w14:textId="04DF4BAC" w:rsidR="009005F2" w:rsidRDefault="00C92957" w:rsidP="009005F2">
      <w:pPr>
        <w:jc w:val="both"/>
        <w:rPr>
          <w:noProof/>
          <w:sz w:val="20"/>
          <w:szCs w:val="20"/>
          <w:lang w:val="en-US"/>
        </w:rPr>
      </w:pPr>
      <w:r>
        <w:rPr>
          <w:noProof/>
          <w:sz w:val="20"/>
          <w:szCs w:val="20"/>
          <w:lang w:val="en-US"/>
        </w:rPr>
        <w:t>In this paper, we</w:t>
      </w:r>
      <w:r w:rsidR="000A68BE">
        <w:rPr>
          <w:noProof/>
          <w:sz w:val="20"/>
          <w:szCs w:val="20"/>
          <w:lang w:val="en-US"/>
        </w:rPr>
        <w:t xml:space="preserve"> explore the role of company</w:t>
      </w:r>
      <w:r w:rsidR="008E60AF">
        <w:rPr>
          <w:noProof/>
          <w:sz w:val="20"/>
          <w:szCs w:val="20"/>
          <w:lang w:val="en-US"/>
        </w:rPr>
        <w:t>’s</w:t>
      </w:r>
      <w:r w:rsidR="000A68BE">
        <w:rPr>
          <w:noProof/>
          <w:sz w:val="20"/>
          <w:szCs w:val="20"/>
          <w:lang w:val="en-US"/>
        </w:rPr>
        <w:t xml:space="preserve"> </w:t>
      </w:r>
      <w:r w:rsidR="008E60AF">
        <w:rPr>
          <w:noProof/>
          <w:sz w:val="20"/>
          <w:szCs w:val="20"/>
          <w:lang w:val="en-US"/>
        </w:rPr>
        <w:t>a</w:t>
      </w:r>
      <w:r w:rsidR="008E60AF" w:rsidRPr="007F7B8C">
        <w:rPr>
          <w:noProof/>
          <w:sz w:val="20"/>
          <w:szCs w:val="20"/>
          <w:lang w:val="en-US"/>
        </w:rPr>
        <w:t>llocation, strategic skills, structural skills,</w:t>
      </w:r>
      <w:r w:rsidR="00B62EA8">
        <w:rPr>
          <w:noProof/>
          <w:sz w:val="20"/>
          <w:szCs w:val="20"/>
          <w:lang w:val="en-US"/>
        </w:rPr>
        <w:t xml:space="preserve"> and market pressure </w:t>
      </w:r>
      <w:r>
        <w:rPr>
          <w:noProof/>
          <w:sz w:val="20"/>
          <w:szCs w:val="20"/>
          <w:lang w:val="en-US"/>
        </w:rPr>
        <w:t xml:space="preserve">for the </w:t>
      </w:r>
      <w:r w:rsidR="00B62EA8">
        <w:rPr>
          <w:noProof/>
          <w:sz w:val="20"/>
          <w:szCs w:val="20"/>
          <w:lang w:val="en-US"/>
        </w:rPr>
        <w:t xml:space="preserve">financial </w:t>
      </w:r>
      <w:r w:rsidR="000A68BE">
        <w:rPr>
          <w:noProof/>
          <w:sz w:val="20"/>
          <w:szCs w:val="20"/>
          <w:lang w:val="en-US"/>
        </w:rPr>
        <w:t xml:space="preserve">succes in emissions trading. </w:t>
      </w:r>
      <w:r w:rsidRPr="00BD304D">
        <w:rPr>
          <w:noProof/>
          <w:sz w:val="20"/>
          <w:szCs w:val="20"/>
          <w:lang w:val="en-US"/>
        </w:rPr>
        <w:t>Thus, while pr</w:t>
      </w:r>
      <w:r w:rsidR="00A26098" w:rsidRPr="00BD304D">
        <w:rPr>
          <w:noProof/>
          <w:sz w:val="20"/>
          <w:szCs w:val="20"/>
          <w:lang w:val="en-US"/>
        </w:rPr>
        <w:t>e</w:t>
      </w:r>
      <w:r w:rsidRPr="00BD304D">
        <w:rPr>
          <w:noProof/>
          <w:sz w:val="20"/>
          <w:szCs w:val="20"/>
          <w:lang w:val="en-US"/>
        </w:rPr>
        <w:t>v</w:t>
      </w:r>
      <w:r w:rsidR="00A26098" w:rsidRPr="00BD304D">
        <w:rPr>
          <w:noProof/>
          <w:sz w:val="20"/>
          <w:szCs w:val="20"/>
          <w:lang w:val="en-US"/>
        </w:rPr>
        <w:t>i</w:t>
      </w:r>
      <w:r w:rsidRPr="00BD304D">
        <w:rPr>
          <w:noProof/>
          <w:sz w:val="20"/>
          <w:szCs w:val="20"/>
          <w:lang w:val="en-US"/>
        </w:rPr>
        <w:t>ous work focussed on company characteristics and net position, our approach accounts for heterogeneity in the extent to which companies</w:t>
      </w:r>
      <w:r w:rsidR="00715D12">
        <w:rPr>
          <w:noProof/>
          <w:sz w:val="20"/>
          <w:szCs w:val="20"/>
          <w:lang w:val="en-US"/>
        </w:rPr>
        <w:t>'</w:t>
      </w:r>
      <w:r w:rsidRPr="00BD304D">
        <w:rPr>
          <w:noProof/>
          <w:sz w:val="20"/>
          <w:szCs w:val="20"/>
          <w:lang w:val="en-US"/>
        </w:rPr>
        <w:t xml:space="preserve"> </w:t>
      </w:r>
      <w:r w:rsidR="00BD304D" w:rsidRPr="00BD304D">
        <w:rPr>
          <w:noProof/>
          <w:sz w:val="20"/>
          <w:szCs w:val="20"/>
          <w:lang w:val="en-US"/>
        </w:rPr>
        <w:t>skill related factors influence trading performance</w:t>
      </w:r>
      <w:r w:rsidRPr="00BD304D">
        <w:rPr>
          <w:noProof/>
          <w:sz w:val="20"/>
          <w:szCs w:val="20"/>
          <w:lang w:val="en-US"/>
        </w:rPr>
        <w:t>. Our perio</w:t>
      </w:r>
      <w:r w:rsidR="00D1076B" w:rsidRPr="00BD304D">
        <w:rPr>
          <w:noProof/>
          <w:sz w:val="20"/>
          <w:szCs w:val="20"/>
          <w:lang w:val="en-US"/>
        </w:rPr>
        <w:t>d</w:t>
      </w:r>
      <w:r w:rsidRPr="00BD304D">
        <w:rPr>
          <w:noProof/>
          <w:sz w:val="20"/>
          <w:szCs w:val="20"/>
          <w:lang w:val="en-US"/>
        </w:rPr>
        <w:t xml:space="preserve"> of analysis is longer than in previous work, and spans over </w:t>
      </w:r>
      <w:r w:rsidR="000A68BE" w:rsidRPr="00BD304D">
        <w:rPr>
          <w:noProof/>
          <w:sz w:val="20"/>
          <w:szCs w:val="20"/>
          <w:lang w:val="en-US"/>
        </w:rPr>
        <w:t xml:space="preserve">three </w:t>
      </w:r>
      <w:r w:rsidR="00D1076B" w:rsidRPr="00BD304D">
        <w:rPr>
          <w:noProof/>
          <w:sz w:val="20"/>
          <w:szCs w:val="20"/>
          <w:lang w:val="en-US"/>
        </w:rPr>
        <w:t>EU ETS trading perdiods</w:t>
      </w:r>
      <w:r w:rsidR="001E0965" w:rsidRPr="00BD304D">
        <w:rPr>
          <w:noProof/>
          <w:sz w:val="20"/>
          <w:szCs w:val="20"/>
          <w:lang w:val="en-US"/>
        </w:rPr>
        <w:t>.</w:t>
      </w:r>
      <w:r w:rsidR="002A25A0" w:rsidRPr="00BD304D">
        <w:rPr>
          <w:noProof/>
          <w:sz w:val="20"/>
          <w:szCs w:val="20"/>
          <w:lang w:val="en-US"/>
        </w:rPr>
        <w:t xml:space="preserve"> </w:t>
      </w:r>
      <w:r w:rsidR="00D1076B" w:rsidRPr="00BD304D">
        <w:rPr>
          <w:noProof/>
          <w:sz w:val="20"/>
          <w:szCs w:val="20"/>
          <w:lang w:val="en-US"/>
        </w:rPr>
        <w:t xml:space="preserve">While we find support for the role of learning, </w:t>
      </w:r>
      <w:r w:rsidR="004116AE" w:rsidRPr="00BD304D">
        <w:rPr>
          <w:noProof/>
          <w:sz w:val="20"/>
          <w:szCs w:val="20"/>
          <w:lang w:val="en-US"/>
        </w:rPr>
        <w:t xml:space="preserve">and </w:t>
      </w:r>
      <w:r w:rsidR="00547387" w:rsidRPr="00BD304D">
        <w:rPr>
          <w:noProof/>
          <w:sz w:val="20"/>
          <w:szCs w:val="20"/>
          <w:lang w:val="en-US"/>
        </w:rPr>
        <w:t xml:space="preserve">forward-looking assessment of the position on the market, we find no evidence that gaining access to information (via </w:t>
      </w:r>
      <w:r w:rsidR="00BD627C" w:rsidRPr="00BD304D">
        <w:rPr>
          <w:noProof/>
          <w:sz w:val="20"/>
          <w:szCs w:val="20"/>
          <w:lang w:val="en-US"/>
        </w:rPr>
        <w:t>intermediaries</w:t>
      </w:r>
      <w:r w:rsidR="00547387" w:rsidRPr="00BD304D">
        <w:rPr>
          <w:noProof/>
          <w:sz w:val="20"/>
          <w:szCs w:val="20"/>
          <w:lang w:val="en-US"/>
        </w:rPr>
        <w:t>) leads to higher profits.</w:t>
      </w:r>
      <w:r w:rsidR="00715D12">
        <w:rPr>
          <w:noProof/>
          <w:sz w:val="20"/>
          <w:szCs w:val="20"/>
          <w:lang w:val="en-US"/>
        </w:rPr>
        <w:t xml:space="preserve"> </w:t>
      </w:r>
      <w:r w:rsidR="009005F2" w:rsidRPr="008E60AF">
        <w:rPr>
          <w:noProof/>
          <w:sz w:val="20"/>
          <w:szCs w:val="20"/>
          <w:lang w:val="en-US"/>
        </w:rPr>
        <w:t xml:space="preserve">In addition, our findings confirm earlier findings, that a generous 'endowment' (via free allocation of allowances) leads to higher profits. In general though, we find little evidence that other company characteristics or sector affiliation are </w:t>
      </w:r>
      <w:r w:rsidR="004E6B77" w:rsidRPr="008E60AF">
        <w:rPr>
          <w:noProof/>
          <w:sz w:val="20"/>
          <w:szCs w:val="20"/>
          <w:lang w:val="en-US"/>
        </w:rPr>
        <w:t xml:space="preserve">systematically </w:t>
      </w:r>
      <w:r w:rsidR="009005F2" w:rsidRPr="008E60AF">
        <w:rPr>
          <w:noProof/>
          <w:sz w:val="20"/>
          <w:szCs w:val="20"/>
          <w:lang w:val="en-US"/>
        </w:rPr>
        <w:t>related with success in the trading of emission allowances.</w:t>
      </w:r>
      <w:r w:rsidR="00715D12">
        <w:rPr>
          <w:noProof/>
          <w:sz w:val="20"/>
          <w:szCs w:val="20"/>
          <w:lang w:val="en-US"/>
        </w:rPr>
        <w:t xml:space="preserve"> Finally, we find that </w:t>
      </w:r>
      <w:r w:rsidR="005E6E94" w:rsidRPr="005E6E94">
        <w:rPr>
          <w:noProof/>
          <w:sz w:val="20"/>
          <w:szCs w:val="20"/>
          <w:lang w:val="en-US"/>
        </w:rPr>
        <w:t>companies choose the number of banked allowances efficiently, i.e. they take into account the opportunity costs of selling these allowances on the market.</w:t>
      </w:r>
    </w:p>
    <w:p w14:paraId="4D86C815" w14:textId="10A0699B" w:rsidR="00394222" w:rsidRPr="0014620F" w:rsidRDefault="00394222">
      <w:pPr>
        <w:pStyle w:val="Titolo4"/>
        <w:rPr>
          <w:b/>
          <w:noProof/>
          <w:lang w:val="en-US"/>
        </w:rPr>
      </w:pPr>
      <w:r w:rsidRPr="0014620F">
        <w:rPr>
          <w:b/>
          <w:noProof/>
          <w:lang w:val="en-US"/>
        </w:rPr>
        <w:t>References</w:t>
      </w:r>
    </w:p>
    <w:p w14:paraId="36D4D5BF" w14:textId="7706D597" w:rsidR="00AB233F" w:rsidRPr="0014620F" w:rsidRDefault="00AB233F" w:rsidP="00153691">
      <w:pPr>
        <w:ind w:left="284" w:hanging="284"/>
        <w:rPr>
          <w:noProof/>
          <w:sz w:val="20"/>
          <w:lang w:val="en-US"/>
        </w:rPr>
      </w:pPr>
      <w:r w:rsidRPr="00715D12">
        <w:rPr>
          <w:noProof/>
          <w:sz w:val="20"/>
        </w:rPr>
        <w:t xml:space="preserve">Abrell, Jan, </w:t>
      </w:r>
      <w:r w:rsidR="00715D12" w:rsidRPr="00715D12">
        <w:rPr>
          <w:noProof/>
          <w:sz w:val="20"/>
        </w:rPr>
        <w:t>Cludius, Johanna, Lehmann, Sascha, Schleich, Joachim, Betz, Regin</w:t>
      </w:r>
      <w:r w:rsidR="00715D12">
        <w:rPr>
          <w:noProof/>
          <w:sz w:val="20"/>
        </w:rPr>
        <w:t xml:space="preserve">a </w:t>
      </w:r>
      <w:r w:rsidRPr="00715D12">
        <w:rPr>
          <w:noProof/>
          <w:sz w:val="20"/>
        </w:rPr>
        <w:t xml:space="preserve"> </w:t>
      </w:r>
      <w:r w:rsidR="00831D54">
        <w:rPr>
          <w:noProof/>
          <w:sz w:val="20"/>
          <w:lang w:val="en-US"/>
        </w:rPr>
        <w:t>(</w:t>
      </w:r>
      <w:r w:rsidRPr="0014620F">
        <w:rPr>
          <w:noProof/>
          <w:sz w:val="20"/>
          <w:lang w:val="en-US"/>
        </w:rPr>
        <w:t>2021</w:t>
      </w:r>
      <w:r w:rsidR="00831D54">
        <w:rPr>
          <w:noProof/>
          <w:sz w:val="20"/>
          <w:lang w:val="en-US"/>
        </w:rPr>
        <w:t>)</w:t>
      </w:r>
      <w:r w:rsidRPr="0014620F">
        <w:rPr>
          <w:noProof/>
          <w:sz w:val="20"/>
          <w:lang w:val="en-US"/>
        </w:rPr>
        <w:t>. Corporate emissions-trading behaviour during the first decade of the EU ETS. Environmental and Resource Economics,</w:t>
      </w:r>
      <w:r w:rsidR="00831D54">
        <w:rPr>
          <w:noProof/>
          <w:sz w:val="20"/>
          <w:lang w:val="en-US"/>
        </w:rPr>
        <w:t xml:space="preserve"> </w:t>
      </w:r>
      <w:r w:rsidR="00831D54" w:rsidRPr="00831D54">
        <w:rPr>
          <w:noProof/>
          <w:sz w:val="20"/>
          <w:lang w:val="en-US"/>
        </w:rPr>
        <w:t>https://doi.org/10.1007/s10640-021-00593-7</w:t>
      </w:r>
    </w:p>
    <w:p w14:paraId="6249B07E" w14:textId="4E5B8D6F" w:rsidR="009839BF" w:rsidRPr="0014620F" w:rsidRDefault="00942580" w:rsidP="00153691">
      <w:pPr>
        <w:ind w:left="284" w:hanging="284"/>
        <w:rPr>
          <w:noProof/>
          <w:sz w:val="20"/>
          <w:lang w:val="en-US"/>
        </w:rPr>
      </w:pPr>
      <w:r w:rsidRPr="0014620F">
        <w:rPr>
          <w:noProof/>
          <w:sz w:val="20"/>
          <w:lang w:val="en-US"/>
        </w:rPr>
        <w:t>Cludius, Johanna (2018). Winners and Losers of EU Emissions Trading: Insights from the EUTL Transfer Dataset. EEEP 7 (2).</w:t>
      </w:r>
    </w:p>
    <w:p w14:paraId="4A4FAB1B" w14:textId="04D62D35" w:rsidR="00942580" w:rsidRPr="0014620F" w:rsidRDefault="00942580" w:rsidP="00153691">
      <w:pPr>
        <w:ind w:left="284" w:hanging="284"/>
        <w:rPr>
          <w:noProof/>
          <w:sz w:val="20"/>
          <w:lang w:val="en-US"/>
        </w:rPr>
      </w:pPr>
      <w:r w:rsidRPr="0014620F">
        <w:rPr>
          <w:noProof/>
          <w:sz w:val="20"/>
          <w:lang w:val="en-US"/>
        </w:rPr>
        <w:t>Guo, Jianfeng; Gu, Fu; Liu, Yinpeng; Liang, Xi; Mo, Jianlei; Fan, Ying (2020). Assessing the impact of ETS trading profit on emission abatements based on firm-level transactions. Nature communications 11 (1).</w:t>
      </w:r>
    </w:p>
    <w:p w14:paraId="660B3A27" w14:textId="74CF7586" w:rsidR="00B60376" w:rsidRDefault="00942580" w:rsidP="00942580">
      <w:pPr>
        <w:ind w:left="284" w:hanging="284"/>
        <w:rPr>
          <w:noProof/>
          <w:sz w:val="20"/>
          <w:lang w:val="en-US"/>
        </w:rPr>
      </w:pPr>
      <w:r w:rsidRPr="0014620F">
        <w:rPr>
          <w:noProof/>
          <w:sz w:val="20"/>
          <w:lang w:val="en-US"/>
        </w:rPr>
        <w:t>Liu, Yin-Peng; Guo, Jian-Feng; Fan, Ying (2017). A big data study on emitting companies' performance in the first two phases of the European Union Emission Trading Scheme. Journal of Cleaner Production 142.</w:t>
      </w:r>
    </w:p>
    <w:sectPr w:rsidR="00B603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FAE0E" w14:textId="77777777" w:rsidR="00C2067B" w:rsidRDefault="00C2067B" w:rsidP="009D39F5">
      <w:r>
        <w:separator/>
      </w:r>
    </w:p>
  </w:endnote>
  <w:endnote w:type="continuationSeparator" w:id="0">
    <w:p w14:paraId="138D90FC" w14:textId="77777777" w:rsidR="00C2067B" w:rsidRDefault="00C2067B" w:rsidP="009D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2A24" w14:textId="77777777" w:rsidR="00C2067B" w:rsidRDefault="00C2067B" w:rsidP="009D39F5">
      <w:r>
        <w:separator/>
      </w:r>
    </w:p>
  </w:footnote>
  <w:footnote w:type="continuationSeparator" w:id="0">
    <w:p w14:paraId="6265CF82" w14:textId="77777777" w:rsidR="00C2067B" w:rsidRDefault="00C2067B" w:rsidP="009D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7EF0"/>
    <w:multiLevelType w:val="hybridMultilevel"/>
    <w:tmpl w:val="440CE6C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1A81F14"/>
    <w:multiLevelType w:val="hybridMultilevel"/>
    <w:tmpl w:val="06ECE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1A0F35"/>
    <w:multiLevelType w:val="hybridMultilevel"/>
    <w:tmpl w:val="22F0D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C64399"/>
    <w:multiLevelType w:val="hybridMultilevel"/>
    <w:tmpl w:val="767838E6"/>
    <w:lvl w:ilvl="0" w:tplc="6526F02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0"/>
    <w:rsid w:val="00005C9A"/>
    <w:rsid w:val="000112D2"/>
    <w:rsid w:val="00013F66"/>
    <w:rsid w:val="00021131"/>
    <w:rsid w:val="0004040B"/>
    <w:rsid w:val="00073316"/>
    <w:rsid w:val="00082734"/>
    <w:rsid w:val="000A0BCF"/>
    <w:rsid w:val="000A68BE"/>
    <w:rsid w:val="000B0C75"/>
    <w:rsid w:val="000B3C5A"/>
    <w:rsid w:val="000B5052"/>
    <w:rsid w:val="000C1D9C"/>
    <w:rsid w:val="000C5764"/>
    <w:rsid w:val="000D2F0D"/>
    <w:rsid w:val="000D632B"/>
    <w:rsid w:val="000D7C0A"/>
    <w:rsid w:val="000E0A3F"/>
    <w:rsid w:val="000E4F63"/>
    <w:rsid w:val="000F2038"/>
    <w:rsid w:val="00110D03"/>
    <w:rsid w:val="001211D1"/>
    <w:rsid w:val="001276F1"/>
    <w:rsid w:val="00132673"/>
    <w:rsid w:val="00132F8D"/>
    <w:rsid w:val="001444B9"/>
    <w:rsid w:val="0014620F"/>
    <w:rsid w:val="0015310C"/>
    <w:rsid w:val="00153691"/>
    <w:rsid w:val="00176E6F"/>
    <w:rsid w:val="00193508"/>
    <w:rsid w:val="00195711"/>
    <w:rsid w:val="001B00E6"/>
    <w:rsid w:val="001B57F4"/>
    <w:rsid w:val="001C1126"/>
    <w:rsid w:val="001E0965"/>
    <w:rsid w:val="001E0F2C"/>
    <w:rsid w:val="002022C1"/>
    <w:rsid w:val="0020372C"/>
    <w:rsid w:val="002125DB"/>
    <w:rsid w:val="00213B61"/>
    <w:rsid w:val="00223A1A"/>
    <w:rsid w:val="00232D59"/>
    <w:rsid w:val="00237B72"/>
    <w:rsid w:val="002405C6"/>
    <w:rsid w:val="00256DE6"/>
    <w:rsid w:val="0026559D"/>
    <w:rsid w:val="00284CAC"/>
    <w:rsid w:val="002905AC"/>
    <w:rsid w:val="002A25A0"/>
    <w:rsid w:val="002C2ADC"/>
    <w:rsid w:val="002D5674"/>
    <w:rsid w:val="002E671D"/>
    <w:rsid w:val="002E7F4C"/>
    <w:rsid w:val="002F192B"/>
    <w:rsid w:val="003009D3"/>
    <w:rsid w:val="00315BA8"/>
    <w:rsid w:val="00315EC0"/>
    <w:rsid w:val="00334B19"/>
    <w:rsid w:val="00342483"/>
    <w:rsid w:val="003546E0"/>
    <w:rsid w:val="00357110"/>
    <w:rsid w:val="003650DE"/>
    <w:rsid w:val="00371314"/>
    <w:rsid w:val="003717DB"/>
    <w:rsid w:val="00372138"/>
    <w:rsid w:val="00375DD6"/>
    <w:rsid w:val="00394222"/>
    <w:rsid w:val="003B0376"/>
    <w:rsid w:val="003B10C9"/>
    <w:rsid w:val="003B470B"/>
    <w:rsid w:val="003B4DC6"/>
    <w:rsid w:val="003C4093"/>
    <w:rsid w:val="003E0847"/>
    <w:rsid w:val="003E6FF4"/>
    <w:rsid w:val="003F0274"/>
    <w:rsid w:val="003F36AC"/>
    <w:rsid w:val="003F4A00"/>
    <w:rsid w:val="00410434"/>
    <w:rsid w:val="0041067B"/>
    <w:rsid w:val="00410B9F"/>
    <w:rsid w:val="004116AE"/>
    <w:rsid w:val="0041200C"/>
    <w:rsid w:val="00432B5A"/>
    <w:rsid w:val="004353FE"/>
    <w:rsid w:val="00440D2B"/>
    <w:rsid w:val="00464A2A"/>
    <w:rsid w:val="004657A0"/>
    <w:rsid w:val="004718C7"/>
    <w:rsid w:val="00482080"/>
    <w:rsid w:val="0048673C"/>
    <w:rsid w:val="004A0DA0"/>
    <w:rsid w:val="004A341F"/>
    <w:rsid w:val="004C1054"/>
    <w:rsid w:val="004D1C35"/>
    <w:rsid w:val="004D56C1"/>
    <w:rsid w:val="004D6362"/>
    <w:rsid w:val="004D6B34"/>
    <w:rsid w:val="004E6B77"/>
    <w:rsid w:val="0052069E"/>
    <w:rsid w:val="00522117"/>
    <w:rsid w:val="00526A47"/>
    <w:rsid w:val="005424BC"/>
    <w:rsid w:val="00545C31"/>
    <w:rsid w:val="00547387"/>
    <w:rsid w:val="00554C5E"/>
    <w:rsid w:val="00555AE3"/>
    <w:rsid w:val="00564946"/>
    <w:rsid w:val="00571DA8"/>
    <w:rsid w:val="0058176A"/>
    <w:rsid w:val="005867D5"/>
    <w:rsid w:val="005960A0"/>
    <w:rsid w:val="00596B8B"/>
    <w:rsid w:val="005A5529"/>
    <w:rsid w:val="005C069F"/>
    <w:rsid w:val="005C2B90"/>
    <w:rsid w:val="005D43E1"/>
    <w:rsid w:val="005E0883"/>
    <w:rsid w:val="005E6E79"/>
    <w:rsid w:val="005E6E94"/>
    <w:rsid w:val="005F30A7"/>
    <w:rsid w:val="005F3B7C"/>
    <w:rsid w:val="005F6ACD"/>
    <w:rsid w:val="006025A8"/>
    <w:rsid w:val="00605E40"/>
    <w:rsid w:val="0062208D"/>
    <w:rsid w:val="006379DE"/>
    <w:rsid w:val="00653AED"/>
    <w:rsid w:val="00664713"/>
    <w:rsid w:val="00676602"/>
    <w:rsid w:val="00691932"/>
    <w:rsid w:val="006A230A"/>
    <w:rsid w:val="006B5C7D"/>
    <w:rsid w:val="006C4092"/>
    <w:rsid w:val="0070632F"/>
    <w:rsid w:val="00710CAD"/>
    <w:rsid w:val="00711E32"/>
    <w:rsid w:val="0071332D"/>
    <w:rsid w:val="00715D12"/>
    <w:rsid w:val="0074449E"/>
    <w:rsid w:val="00747995"/>
    <w:rsid w:val="00760974"/>
    <w:rsid w:val="00777858"/>
    <w:rsid w:val="00782F47"/>
    <w:rsid w:val="007957CF"/>
    <w:rsid w:val="007A1AEB"/>
    <w:rsid w:val="007A1B5C"/>
    <w:rsid w:val="007B095C"/>
    <w:rsid w:val="007B236A"/>
    <w:rsid w:val="007C5BFA"/>
    <w:rsid w:val="007E29BD"/>
    <w:rsid w:val="007F7B8C"/>
    <w:rsid w:val="007F7CB9"/>
    <w:rsid w:val="007F7F24"/>
    <w:rsid w:val="008174D3"/>
    <w:rsid w:val="00821E02"/>
    <w:rsid w:val="00823E5E"/>
    <w:rsid w:val="00831D54"/>
    <w:rsid w:val="008324D4"/>
    <w:rsid w:val="00845359"/>
    <w:rsid w:val="008551BC"/>
    <w:rsid w:val="00873A7D"/>
    <w:rsid w:val="008A52D2"/>
    <w:rsid w:val="008E60AF"/>
    <w:rsid w:val="008F1E86"/>
    <w:rsid w:val="009005F2"/>
    <w:rsid w:val="009016BE"/>
    <w:rsid w:val="00907ABC"/>
    <w:rsid w:val="00915C6E"/>
    <w:rsid w:val="00926759"/>
    <w:rsid w:val="009323DF"/>
    <w:rsid w:val="00936EA3"/>
    <w:rsid w:val="0094251E"/>
    <w:rsid w:val="00942580"/>
    <w:rsid w:val="0095252C"/>
    <w:rsid w:val="00974676"/>
    <w:rsid w:val="009839BF"/>
    <w:rsid w:val="00986182"/>
    <w:rsid w:val="009A152C"/>
    <w:rsid w:val="009D39F5"/>
    <w:rsid w:val="009F4E02"/>
    <w:rsid w:val="009F5B1A"/>
    <w:rsid w:val="00A01CA5"/>
    <w:rsid w:val="00A11FC6"/>
    <w:rsid w:val="00A166DA"/>
    <w:rsid w:val="00A25202"/>
    <w:rsid w:val="00A26098"/>
    <w:rsid w:val="00A2733C"/>
    <w:rsid w:val="00A32C07"/>
    <w:rsid w:val="00A406F5"/>
    <w:rsid w:val="00A448EB"/>
    <w:rsid w:val="00A46E40"/>
    <w:rsid w:val="00A8087F"/>
    <w:rsid w:val="00A83B50"/>
    <w:rsid w:val="00A91E8A"/>
    <w:rsid w:val="00A97C8D"/>
    <w:rsid w:val="00AB233F"/>
    <w:rsid w:val="00AC0E10"/>
    <w:rsid w:val="00AD35BF"/>
    <w:rsid w:val="00AD76B8"/>
    <w:rsid w:val="00AE750C"/>
    <w:rsid w:val="00AE7B66"/>
    <w:rsid w:val="00B0006D"/>
    <w:rsid w:val="00B20D4B"/>
    <w:rsid w:val="00B3286A"/>
    <w:rsid w:val="00B351F1"/>
    <w:rsid w:val="00B54C9F"/>
    <w:rsid w:val="00B60376"/>
    <w:rsid w:val="00B62E4F"/>
    <w:rsid w:val="00B62EA8"/>
    <w:rsid w:val="00B63E5E"/>
    <w:rsid w:val="00B834FD"/>
    <w:rsid w:val="00B86211"/>
    <w:rsid w:val="00B8786E"/>
    <w:rsid w:val="00B93C1C"/>
    <w:rsid w:val="00BA63C8"/>
    <w:rsid w:val="00BB3184"/>
    <w:rsid w:val="00BC339F"/>
    <w:rsid w:val="00BC5F16"/>
    <w:rsid w:val="00BD304D"/>
    <w:rsid w:val="00BD627C"/>
    <w:rsid w:val="00BD7558"/>
    <w:rsid w:val="00BD786B"/>
    <w:rsid w:val="00BF4342"/>
    <w:rsid w:val="00C06775"/>
    <w:rsid w:val="00C2067B"/>
    <w:rsid w:val="00C35E76"/>
    <w:rsid w:val="00C4413A"/>
    <w:rsid w:val="00C50CC3"/>
    <w:rsid w:val="00C50F51"/>
    <w:rsid w:val="00C77867"/>
    <w:rsid w:val="00C92957"/>
    <w:rsid w:val="00C95B9B"/>
    <w:rsid w:val="00CB48BF"/>
    <w:rsid w:val="00CC1840"/>
    <w:rsid w:val="00CC276D"/>
    <w:rsid w:val="00CC6C8B"/>
    <w:rsid w:val="00CD04C7"/>
    <w:rsid w:val="00D040AB"/>
    <w:rsid w:val="00D1076B"/>
    <w:rsid w:val="00D225D9"/>
    <w:rsid w:val="00D3226D"/>
    <w:rsid w:val="00D34B4E"/>
    <w:rsid w:val="00D37A8B"/>
    <w:rsid w:val="00D62F3A"/>
    <w:rsid w:val="00D7016A"/>
    <w:rsid w:val="00D73B2F"/>
    <w:rsid w:val="00D73FCC"/>
    <w:rsid w:val="00D94C66"/>
    <w:rsid w:val="00D972E7"/>
    <w:rsid w:val="00DA6409"/>
    <w:rsid w:val="00DB15E1"/>
    <w:rsid w:val="00DC1EFB"/>
    <w:rsid w:val="00DD1BF6"/>
    <w:rsid w:val="00DF5DD0"/>
    <w:rsid w:val="00E00C4C"/>
    <w:rsid w:val="00E33DDC"/>
    <w:rsid w:val="00E511E3"/>
    <w:rsid w:val="00E523E3"/>
    <w:rsid w:val="00E7230B"/>
    <w:rsid w:val="00E86886"/>
    <w:rsid w:val="00E90504"/>
    <w:rsid w:val="00ED417A"/>
    <w:rsid w:val="00EE6C97"/>
    <w:rsid w:val="00F1543C"/>
    <w:rsid w:val="00F2214C"/>
    <w:rsid w:val="00F22F51"/>
    <w:rsid w:val="00F247F8"/>
    <w:rsid w:val="00F25D0E"/>
    <w:rsid w:val="00F34E53"/>
    <w:rsid w:val="00F44408"/>
    <w:rsid w:val="00F44A70"/>
    <w:rsid w:val="00F52820"/>
    <w:rsid w:val="00F55845"/>
    <w:rsid w:val="00F66342"/>
    <w:rsid w:val="00F73A8F"/>
    <w:rsid w:val="00F90324"/>
    <w:rsid w:val="00F96269"/>
    <w:rsid w:val="00FA1093"/>
    <w:rsid w:val="00FA75C1"/>
    <w:rsid w:val="00FB19B1"/>
    <w:rsid w:val="00FB61D7"/>
    <w:rsid w:val="00FE3AE7"/>
    <w:rsid w:val="00FE6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4083"/>
  <w15:docId w15:val="{E6F6E038-BBA0-428A-83F4-934102A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394222"/>
    <w:pPr>
      <w:keepNext/>
      <w:spacing w:after="120"/>
      <w:outlineLvl w:val="0"/>
    </w:pPr>
    <w:rPr>
      <w:b/>
      <w:sz w:val="28"/>
      <w:szCs w:val="28"/>
    </w:rPr>
  </w:style>
  <w:style w:type="paragraph" w:styleId="Titolo3">
    <w:name w:val="heading 3"/>
    <w:aliases w:val="Überschrift 3 Char"/>
    <w:basedOn w:val="Normale"/>
    <w:next w:val="Normale"/>
    <w:link w:val="Titolo3Carattere"/>
    <w:autoRedefine/>
    <w:qFormat/>
    <w:rsid w:val="00777858"/>
    <w:pPr>
      <w:keepNext/>
      <w:outlineLvl w:val="2"/>
    </w:pPr>
    <w:rPr>
      <w:noProof/>
      <w:sz w:val="20"/>
      <w:szCs w:val="20"/>
      <w:lang w:val="en-US"/>
    </w:rPr>
  </w:style>
  <w:style w:type="paragraph" w:styleId="Titolo4">
    <w:name w:val="heading 4"/>
    <w:aliases w:val="Überschrift 4 Char"/>
    <w:basedOn w:val="Normale"/>
    <w:next w:val="Normale"/>
    <w:link w:val="Titolo4Carattere"/>
    <w:autoRedefine/>
    <w:qFormat/>
    <w:rsid w:val="00394222"/>
    <w:pPr>
      <w:keepNext/>
      <w:spacing w:before="240" w:after="60" w:line="240" w:lineRule="exact"/>
      <w:jc w:val="both"/>
      <w:outlineLvl w:val="3"/>
    </w:pPr>
    <w:rPr>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94222"/>
    <w:rPr>
      <w:b/>
      <w:sz w:val="28"/>
      <w:szCs w:val="28"/>
      <w:lang w:val="de-DE" w:eastAsia="de-DE" w:bidi="ar-SA"/>
    </w:rPr>
  </w:style>
  <w:style w:type="character" w:customStyle="1" w:styleId="Titolo3Carattere">
    <w:name w:val="Titolo 3 Carattere"/>
    <w:aliases w:val="Überschrift 3 Char Carattere"/>
    <w:link w:val="Titolo3"/>
    <w:rsid w:val="00777858"/>
    <w:rPr>
      <w:noProof/>
      <w:lang w:val="en-US"/>
    </w:rPr>
  </w:style>
  <w:style w:type="paragraph" w:customStyle="1" w:styleId="1Grobuchstaben">
    <w:name w:val="Ü 1 + Großbuchstaben"/>
    <w:basedOn w:val="Titolo1"/>
    <w:link w:val="1GrobuchstabenChar"/>
    <w:rsid w:val="00394222"/>
    <w:rPr>
      <w:bCs/>
      <w:caps/>
    </w:rPr>
  </w:style>
  <w:style w:type="character" w:customStyle="1" w:styleId="1GrobuchstabenChar">
    <w:name w:val="Ü 1 + Großbuchstaben Char"/>
    <w:link w:val="1Grobuchstaben"/>
    <w:rsid w:val="00394222"/>
    <w:rPr>
      <w:b/>
      <w:bCs/>
      <w:caps/>
      <w:sz w:val="28"/>
      <w:szCs w:val="28"/>
      <w:lang w:val="de-DE" w:eastAsia="de-DE" w:bidi="ar-SA"/>
    </w:rPr>
  </w:style>
  <w:style w:type="paragraph" w:customStyle="1" w:styleId="1Kursiv">
    <w:name w:val="Ü 1 + Kursiv"/>
    <w:basedOn w:val="Titolo1"/>
    <w:link w:val="1KursivChar"/>
    <w:rsid w:val="00394222"/>
    <w:rPr>
      <w:bCs/>
      <w:i/>
      <w:iCs/>
    </w:rPr>
  </w:style>
  <w:style w:type="character" w:customStyle="1" w:styleId="1KursivChar">
    <w:name w:val="Ü 1 + Kursiv Char"/>
    <w:link w:val="1Kursiv"/>
    <w:rsid w:val="00394222"/>
    <w:rPr>
      <w:b/>
      <w:bCs/>
      <w:i/>
      <w:iCs/>
      <w:sz w:val="28"/>
      <w:szCs w:val="28"/>
      <w:lang w:val="de-DE" w:eastAsia="de-DE" w:bidi="ar-SA"/>
    </w:rPr>
  </w:style>
  <w:style w:type="character" w:customStyle="1" w:styleId="Titolo4Carattere">
    <w:name w:val="Titolo 4 Carattere"/>
    <w:aliases w:val="Überschrift 4 Char Carattere"/>
    <w:link w:val="Titolo4"/>
    <w:rsid w:val="00394222"/>
    <w:rPr>
      <w:bCs/>
      <w:sz w:val="24"/>
      <w:szCs w:val="28"/>
      <w:lang w:val="de-DE" w:eastAsia="de-DE" w:bidi="ar-SA"/>
    </w:rPr>
  </w:style>
  <w:style w:type="paragraph" w:styleId="Testofumetto">
    <w:name w:val="Balloon Text"/>
    <w:basedOn w:val="Normale"/>
    <w:semiHidden/>
    <w:rsid w:val="00394222"/>
    <w:rPr>
      <w:rFonts w:ascii="Tahoma" w:hAnsi="Tahoma" w:cs="Tahoma"/>
      <w:sz w:val="16"/>
      <w:szCs w:val="16"/>
    </w:rPr>
  </w:style>
  <w:style w:type="character" w:styleId="Collegamentoipertestuale">
    <w:name w:val="Hyperlink"/>
    <w:rsid w:val="005960A0"/>
    <w:rPr>
      <w:color w:val="0000FF"/>
      <w:u w:val="single"/>
    </w:rPr>
  </w:style>
  <w:style w:type="table" w:styleId="Grigliatabella">
    <w:name w:val="Table Grid"/>
    <w:basedOn w:val="Tabellanormale"/>
    <w:uiPriority w:val="39"/>
    <w:rsid w:val="0074449E"/>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005C9A"/>
    <w:rPr>
      <w:sz w:val="16"/>
      <w:szCs w:val="16"/>
    </w:rPr>
  </w:style>
  <w:style w:type="paragraph" w:styleId="Testocommento">
    <w:name w:val="annotation text"/>
    <w:basedOn w:val="Normale"/>
    <w:link w:val="TestocommentoCarattere"/>
    <w:rsid w:val="00005C9A"/>
    <w:rPr>
      <w:sz w:val="20"/>
      <w:szCs w:val="20"/>
    </w:rPr>
  </w:style>
  <w:style w:type="character" w:customStyle="1" w:styleId="TestocommentoCarattere">
    <w:name w:val="Testo commento Carattere"/>
    <w:basedOn w:val="Carpredefinitoparagrafo"/>
    <w:link w:val="Testocommento"/>
    <w:rsid w:val="00005C9A"/>
  </w:style>
  <w:style w:type="paragraph" w:styleId="Soggettocommento">
    <w:name w:val="annotation subject"/>
    <w:basedOn w:val="Testocommento"/>
    <w:next w:val="Testocommento"/>
    <w:link w:val="SoggettocommentoCarattere"/>
    <w:rsid w:val="00005C9A"/>
    <w:rPr>
      <w:b/>
      <w:bCs/>
    </w:rPr>
  </w:style>
  <w:style w:type="character" w:customStyle="1" w:styleId="SoggettocommentoCarattere">
    <w:name w:val="Soggetto commento Carattere"/>
    <w:basedOn w:val="TestocommentoCarattere"/>
    <w:link w:val="Soggettocommento"/>
    <w:rsid w:val="00005C9A"/>
    <w:rPr>
      <w:b/>
      <w:bCs/>
    </w:rPr>
  </w:style>
  <w:style w:type="character" w:customStyle="1" w:styleId="none">
    <w:name w:val="none"/>
    <w:basedOn w:val="Carpredefinitoparagrafo"/>
    <w:rsid w:val="00C4413A"/>
  </w:style>
  <w:style w:type="paragraph" w:styleId="Paragrafoelenco">
    <w:name w:val="List Paragraph"/>
    <w:basedOn w:val="Normale"/>
    <w:uiPriority w:val="34"/>
    <w:qFormat/>
    <w:rsid w:val="009D39F5"/>
    <w:pPr>
      <w:ind w:left="720"/>
      <w:contextualSpacing/>
    </w:pPr>
  </w:style>
  <w:style w:type="paragraph" w:styleId="Testonotaapidipagina">
    <w:name w:val="footnote text"/>
    <w:basedOn w:val="Normale"/>
    <w:link w:val="TestonotaapidipaginaCarattere"/>
    <w:rsid w:val="005F6ACD"/>
    <w:rPr>
      <w:sz w:val="20"/>
      <w:szCs w:val="20"/>
    </w:rPr>
  </w:style>
  <w:style w:type="character" w:customStyle="1" w:styleId="TestonotaapidipaginaCarattere">
    <w:name w:val="Testo nota a piè di pagina Carattere"/>
    <w:basedOn w:val="Carpredefinitoparagrafo"/>
    <w:link w:val="Testonotaapidipagina"/>
    <w:rsid w:val="005F6ACD"/>
  </w:style>
  <w:style w:type="character" w:styleId="Rimandonotaapidipagina">
    <w:name w:val="footnote reference"/>
    <w:basedOn w:val="Carpredefinitoparagrafo"/>
    <w:rsid w:val="005F6ACD"/>
    <w:rPr>
      <w:rFonts w:ascii="Arial" w:hAnsi="Arial"/>
      <w:color w:val="auto"/>
      <w:position w:val="4"/>
      <w:sz w:val="1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joachim.schleich@isi.fraunhofer.de" TargetMode="External"/><Relationship Id="rId3" Type="http://schemas.openxmlformats.org/officeDocument/2006/relationships/settings" Target="settings.xml"/><Relationship Id="rId7" Type="http://schemas.openxmlformats.org/officeDocument/2006/relationships/hyperlink" Target="mailto:sascha.lehmann@isi.fraunhof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an.pinkse@manchester.ac.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1514</Words>
  <Characters>8636</Characters>
  <Application>Microsoft Office Word</Application>
  <DocSecurity>0</DocSecurity>
  <Lines>71</Lines>
  <Paragraphs>20</Paragraphs>
  <ScaleCrop>false</ScaleCrop>
  <HeadingPairs>
    <vt:vector size="8" baseType="variant">
      <vt:variant>
        <vt:lpstr>Titolo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Jörg Wild, Christian Spielmann, Stephan Vaterlaus and Heike Worm</vt:lpstr>
      <vt:lpstr>Jörg Wild, Christian Spielmann, Stephan Vaterlaus and Heike Worm</vt:lpstr>
      <vt:lpstr>Jörg Wild, Christian Spielmann, Stephan Vaterlaus and Heike Worm</vt:lpstr>
      <vt:lpstr>Jörg Wild, Christian Spielmann, Stephan Vaterlaus and Heike Worm</vt:lpstr>
    </vt:vector>
  </TitlesOfParts>
  <Company>Fraunhofer ISI</Company>
  <LinksUpToDate>false</LinksUpToDate>
  <CharactersWithSpaces>10130</CharactersWithSpaces>
  <SharedDoc>false</SharedDoc>
  <HLinks>
    <vt:vector size="12" baseType="variant">
      <vt:variant>
        <vt:i4>2031720</vt:i4>
      </vt:variant>
      <vt:variant>
        <vt:i4>3</vt:i4>
      </vt:variant>
      <vt:variant>
        <vt:i4>0</vt:i4>
      </vt:variant>
      <vt:variant>
        <vt:i4>5</vt:i4>
      </vt:variant>
      <vt:variant>
        <vt:lpwstr>mailto:marie-charlotte.guetlein@grenoble-em.com</vt:lpwstr>
      </vt:variant>
      <vt:variant>
        <vt:lpwstr/>
      </vt:variant>
      <vt:variant>
        <vt:i4>4259936</vt:i4>
      </vt:variant>
      <vt:variant>
        <vt:i4>0</vt:i4>
      </vt:variant>
      <vt:variant>
        <vt:i4>0</vt:i4>
      </vt:variant>
      <vt:variant>
        <vt:i4>5</vt:i4>
      </vt:variant>
      <vt:variant>
        <vt:lpwstr>mailto:corinne.faure@grenoble-em.com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creator>Joachim Schleich</dc:creator>
  <cp:lastModifiedBy>segreteria</cp:lastModifiedBy>
  <cp:revision>2</cp:revision>
  <dcterms:created xsi:type="dcterms:W3CDTF">2023-03-30T21:48:00Z</dcterms:created>
  <dcterms:modified xsi:type="dcterms:W3CDTF">2023-03-30T21:48:00Z</dcterms:modified>
</cp:coreProperties>
</file>